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7726BB" w14:textId="68010CEB" w:rsidR="00074F63" w:rsidRPr="00074F63" w:rsidRDefault="00074F63" w:rsidP="00074F63">
      <w:pPr>
        <w:tabs>
          <w:tab w:val="left" w:pos="4245"/>
        </w:tabs>
        <w:jc w:val="center"/>
        <w:rPr>
          <w:rFonts w:ascii="Times New Roman" w:hAnsi="Times New Roman" w:cs="Times New Roman"/>
          <w:sz w:val="72"/>
          <w:szCs w:val="52"/>
        </w:rPr>
      </w:pPr>
      <w:r w:rsidRPr="00074F63">
        <w:rPr>
          <w:rFonts w:ascii="Times New Roman" w:hAnsi="Times New Roman" w:cs="Times New Roman"/>
          <w:sz w:val="72"/>
          <w:szCs w:val="52"/>
        </w:rPr>
        <w:t>Children of the Anthropocene</w:t>
      </w:r>
    </w:p>
    <w:p w14:paraId="0A0DE205" w14:textId="3F8CB7E2" w:rsidR="00074F63" w:rsidRPr="00074F63" w:rsidRDefault="00074F63" w:rsidP="00074F63">
      <w:pPr>
        <w:tabs>
          <w:tab w:val="left" w:pos="4245"/>
        </w:tabs>
        <w:jc w:val="center"/>
        <w:rPr>
          <w:rFonts w:ascii="Times New Roman" w:hAnsi="Times New Roman" w:cs="Times New Roman"/>
          <w:sz w:val="28"/>
          <w:szCs w:val="22"/>
        </w:rPr>
      </w:pPr>
      <w:r w:rsidRPr="00074F63">
        <w:rPr>
          <w:rFonts w:ascii="Times New Roman" w:hAnsi="Times New Roman" w:cs="Times New Roman"/>
          <w:sz w:val="28"/>
          <w:szCs w:val="22"/>
        </w:rPr>
        <w:t xml:space="preserve">The Implications of the </w:t>
      </w:r>
      <w:r w:rsidRPr="00074F63">
        <w:rPr>
          <w:rFonts w:ascii="Times New Roman" w:hAnsi="Times New Roman" w:cs="Times New Roman"/>
          <w:sz w:val="28"/>
          <w:szCs w:val="22"/>
        </w:rPr>
        <w:t>“</w:t>
      </w:r>
      <w:r w:rsidRPr="00074F63">
        <w:rPr>
          <w:rFonts w:ascii="Times New Roman" w:hAnsi="Times New Roman" w:cs="Times New Roman"/>
          <w:sz w:val="28"/>
          <w:szCs w:val="22"/>
        </w:rPr>
        <w:t>Human Age</w:t>
      </w:r>
      <w:r w:rsidRPr="00074F63">
        <w:rPr>
          <w:rFonts w:ascii="Times New Roman" w:hAnsi="Times New Roman" w:cs="Times New Roman"/>
          <w:sz w:val="28"/>
          <w:szCs w:val="22"/>
        </w:rPr>
        <w:t>”</w:t>
      </w:r>
      <w:r w:rsidRPr="00074F63">
        <w:rPr>
          <w:rFonts w:ascii="Times New Roman" w:hAnsi="Times New Roman" w:cs="Times New Roman"/>
          <w:sz w:val="28"/>
          <w:szCs w:val="22"/>
        </w:rPr>
        <w:t xml:space="preserve"> for the History of Childhood</w:t>
      </w:r>
    </w:p>
    <w:p w14:paraId="29D9789B" w14:textId="37637DF1" w:rsidR="00074F63" w:rsidRPr="00074F63" w:rsidRDefault="00074F63" w:rsidP="00074F63">
      <w:pPr>
        <w:tabs>
          <w:tab w:val="left" w:pos="4245"/>
        </w:tabs>
      </w:pPr>
      <w:r>
        <w:tab/>
      </w:r>
    </w:p>
    <w:p w14:paraId="13B3BE6C" w14:textId="007B1CE7" w:rsidR="00074F63" w:rsidRPr="00074F63" w:rsidRDefault="00074F63" w:rsidP="00074F63">
      <w:pPr>
        <w:tabs>
          <w:tab w:val="left" w:pos="4245"/>
        </w:tabs>
        <w:jc w:val="center"/>
        <w:rPr>
          <w:rFonts w:ascii="Times New Roman" w:hAnsi="Times New Roman" w:cs="Times New Roman"/>
          <w:sz w:val="28"/>
          <w:szCs w:val="22"/>
        </w:rPr>
        <w:sectPr w:rsidR="00074F63" w:rsidRPr="00074F63" w:rsidSect="00A579D5">
          <w:pgSz w:w="11906" w:h="16838"/>
          <w:pgMar w:top="1440" w:right="1080" w:bottom="1440" w:left="1080" w:header="708" w:footer="708" w:gutter="0"/>
          <w:pgNumType w:start="1"/>
          <w:cols w:space="708"/>
          <w:titlePg/>
          <w:docGrid w:linePitch="360"/>
        </w:sectPr>
      </w:pPr>
      <w:r w:rsidRPr="00074F63">
        <w:rPr>
          <w:rFonts w:ascii="Times New Roman" w:hAnsi="Times New Roman" w:cs="Times New Roman"/>
          <w:sz w:val="28"/>
          <w:szCs w:val="22"/>
        </w:rPr>
        <w:t>Louis Lorenzo</w:t>
      </w:r>
    </w:p>
    <w:p w14:paraId="45FB771F" w14:textId="77777777" w:rsidR="004A2098" w:rsidRDefault="004A2098" w:rsidP="004A2098">
      <w:pPr>
        <w:spacing w:after="0" w:line="480" w:lineRule="auto"/>
        <w:jc w:val="center"/>
        <w:rPr>
          <w:rFonts w:ascii="Times New Roman" w:eastAsiaTheme="minorHAnsi" w:hAnsi="Times New Roman" w:cs="Times New Roman"/>
          <w:sz w:val="28"/>
          <w:szCs w:val="24"/>
          <w:lang w:eastAsia="en-US"/>
        </w:rPr>
      </w:pPr>
    </w:p>
    <w:p w14:paraId="6122DAC1" w14:textId="1EA89F7E" w:rsidR="004A2098" w:rsidRPr="004A2098" w:rsidRDefault="004A2098" w:rsidP="004A2098">
      <w:pPr>
        <w:spacing w:after="0" w:line="480" w:lineRule="auto"/>
        <w:jc w:val="center"/>
        <w:rPr>
          <w:rFonts w:ascii="Times New Roman" w:eastAsiaTheme="minorHAnsi" w:hAnsi="Times New Roman" w:cs="Times New Roman"/>
          <w:sz w:val="28"/>
          <w:szCs w:val="24"/>
          <w:lang w:eastAsia="en-US"/>
        </w:rPr>
      </w:pPr>
      <w:r w:rsidRPr="004A2098">
        <w:rPr>
          <w:rFonts w:ascii="Times New Roman" w:eastAsiaTheme="minorHAnsi" w:hAnsi="Times New Roman" w:cs="Times New Roman"/>
          <w:sz w:val="28"/>
          <w:szCs w:val="24"/>
          <w:lang w:eastAsia="en-US"/>
        </w:rPr>
        <w:t>Positioning the History of Childhood Within the Anthropocene Debate</w:t>
      </w:r>
    </w:p>
    <w:p w14:paraId="112EF782" w14:textId="77777777" w:rsidR="004A2098" w:rsidRPr="004A2098" w:rsidRDefault="004A2098" w:rsidP="004A2098">
      <w:pPr>
        <w:spacing w:after="0" w:line="480" w:lineRule="auto"/>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Across the historical discipline the concept of Anthropocene is being used to redefine how we interpret and describe the relationships between humanity and the rest of the natural world. The notion of a “human history” and a “natural history” existing as two separate streams of academic interest has met the Anthropocene confluence, thrusting the two together into one inseparable river. Our acceptance that ‘Humanity has initiated an environmental “phase shift”’ as Jason Kelly puts it, has opened new fields of historical enquiry into the manner in which people influence the environments of which they are a part, and the manner in which those environments influence them in turn.</w:t>
      </w:r>
      <w:r w:rsidRPr="004A2098">
        <w:rPr>
          <w:rFonts w:ascii="Times New Roman" w:eastAsiaTheme="minorHAnsi" w:hAnsi="Times New Roman" w:cs="Times New Roman"/>
          <w:szCs w:val="22"/>
          <w:vertAlign w:val="superscript"/>
          <w:lang w:eastAsia="en-US"/>
        </w:rPr>
        <w:footnoteReference w:id="1"/>
      </w:r>
      <w:r w:rsidRPr="004A2098">
        <w:rPr>
          <w:rFonts w:ascii="Times New Roman" w:eastAsiaTheme="minorHAnsi" w:hAnsi="Times New Roman" w:cs="Times New Roman"/>
          <w:szCs w:val="22"/>
          <w:lang w:eastAsia="en-US"/>
        </w:rPr>
        <w:t xml:space="preserve"> The ever-increasing contemporary relevance of climate change to the everyday of people’s lives has furthered this interest, and has led many historians to note the ways in which the Anthropocene does not constitute a universalising force. That, as Jason Moore writes, ‘because of existing power relationships, the ‘new reality’ will be more ‘real’ for some than for others’.</w:t>
      </w:r>
      <w:r w:rsidRPr="004A2098">
        <w:rPr>
          <w:rFonts w:ascii="Times New Roman" w:eastAsiaTheme="minorHAnsi" w:hAnsi="Times New Roman" w:cs="Times New Roman"/>
          <w:szCs w:val="22"/>
          <w:vertAlign w:val="superscript"/>
          <w:lang w:eastAsia="en-US"/>
        </w:rPr>
        <w:footnoteReference w:id="2"/>
      </w:r>
      <w:r w:rsidRPr="004A2098">
        <w:rPr>
          <w:rFonts w:ascii="Times New Roman" w:eastAsiaTheme="minorHAnsi" w:hAnsi="Times New Roman" w:cs="Times New Roman"/>
          <w:szCs w:val="22"/>
          <w:lang w:eastAsia="en-US"/>
        </w:rPr>
        <w:t xml:space="preserve"> Gender historians have taken a leading role in considering how the Anthropocene relates to the disparities between men and women as both contributors to, and subjects of, the consequences resulting from our new “human age”. Since Val </w:t>
      </w:r>
      <w:proofErr w:type="spellStart"/>
      <w:r w:rsidRPr="004A2098">
        <w:rPr>
          <w:rFonts w:ascii="Times New Roman" w:eastAsiaTheme="minorHAnsi" w:hAnsi="Times New Roman" w:cs="Times New Roman"/>
          <w:szCs w:val="22"/>
          <w:lang w:eastAsia="en-US"/>
        </w:rPr>
        <w:t>Plumwood’s</w:t>
      </w:r>
      <w:proofErr w:type="spellEnd"/>
      <w:r w:rsidRPr="004A2098">
        <w:rPr>
          <w:rFonts w:ascii="Times New Roman" w:eastAsiaTheme="minorHAnsi" w:hAnsi="Times New Roman" w:cs="Times New Roman"/>
          <w:szCs w:val="22"/>
          <w:lang w:eastAsia="en-US"/>
        </w:rPr>
        <w:t xml:space="preserve"> </w:t>
      </w:r>
      <w:r w:rsidRPr="004A2098">
        <w:rPr>
          <w:rFonts w:ascii="Times New Roman" w:eastAsiaTheme="minorHAnsi" w:hAnsi="Times New Roman" w:cs="Times New Roman"/>
          <w:i/>
          <w:iCs/>
          <w:szCs w:val="22"/>
          <w:lang w:eastAsia="en-US"/>
        </w:rPr>
        <w:t xml:space="preserve">Feminism and the Mastery of Nature </w:t>
      </w:r>
      <w:r w:rsidRPr="004A2098">
        <w:rPr>
          <w:rFonts w:ascii="Times New Roman" w:eastAsiaTheme="minorHAnsi" w:hAnsi="Times New Roman" w:cs="Times New Roman"/>
          <w:szCs w:val="22"/>
          <w:lang w:eastAsia="en-US"/>
        </w:rPr>
        <w:t>(1993) it has been recognised that both women and the natural world have been depoliticised, diminished, and distanced from the “standard” social order by the same dualistic enlightenment narratives.</w:t>
      </w:r>
      <w:r w:rsidRPr="004A2098">
        <w:rPr>
          <w:rFonts w:ascii="Times New Roman" w:eastAsiaTheme="minorHAnsi" w:hAnsi="Times New Roman" w:cs="Times New Roman"/>
          <w:szCs w:val="22"/>
          <w:vertAlign w:val="superscript"/>
          <w:lang w:eastAsia="en-US"/>
        </w:rPr>
        <w:footnoteReference w:id="3"/>
      </w:r>
      <w:r w:rsidRPr="004A2098">
        <w:rPr>
          <w:rFonts w:ascii="Times New Roman" w:eastAsiaTheme="minorHAnsi" w:hAnsi="Times New Roman" w:cs="Times New Roman"/>
          <w:szCs w:val="22"/>
          <w:lang w:eastAsia="en-US"/>
        </w:rPr>
        <w:t xml:space="preserve"> Both have been </w:t>
      </w:r>
      <w:r w:rsidRPr="004A2098">
        <w:rPr>
          <w:rFonts w:ascii="Times New Roman" w:eastAsiaTheme="minorHAnsi" w:hAnsi="Times New Roman" w:cs="Times New Roman"/>
          <w:i/>
          <w:iCs/>
          <w:szCs w:val="22"/>
          <w:lang w:eastAsia="en-US"/>
        </w:rPr>
        <w:t>othered</w:t>
      </w:r>
      <w:r w:rsidRPr="004A2098">
        <w:rPr>
          <w:rFonts w:ascii="Times New Roman" w:eastAsiaTheme="minorHAnsi" w:hAnsi="Times New Roman" w:cs="Times New Roman"/>
          <w:szCs w:val="22"/>
          <w:lang w:eastAsia="en-US"/>
        </w:rPr>
        <w:t>, defined as inferiors by an elite that has pretended ‘an illusory sense of autonomy’ rather than acknowledge its reliance upon them.</w:t>
      </w:r>
      <w:r w:rsidRPr="004A2098">
        <w:rPr>
          <w:rFonts w:ascii="Times New Roman" w:eastAsiaTheme="minorHAnsi" w:hAnsi="Times New Roman" w:cs="Times New Roman"/>
          <w:szCs w:val="22"/>
          <w:vertAlign w:val="superscript"/>
          <w:lang w:eastAsia="en-US"/>
        </w:rPr>
        <w:footnoteReference w:id="4"/>
      </w:r>
      <w:r w:rsidRPr="004A2098">
        <w:rPr>
          <w:rFonts w:ascii="Times New Roman" w:eastAsiaTheme="minorHAnsi" w:hAnsi="Times New Roman" w:cs="Times New Roman"/>
          <w:szCs w:val="22"/>
          <w:lang w:eastAsia="en-US"/>
        </w:rPr>
        <w:t xml:space="preserve"> The introduction of Anthropocene has evolved these arguments, shifting historians toward more wholistic understandings of an earth-</w:t>
      </w:r>
      <w:r w:rsidRPr="004A2098">
        <w:rPr>
          <w:rFonts w:ascii="Times New Roman" w:eastAsiaTheme="minorHAnsi" w:hAnsi="Times New Roman" w:cs="Times New Roman"/>
          <w:szCs w:val="22"/>
          <w:lang w:eastAsia="en-US"/>
        </w:rPr>
        <w:lastRenderedPageBreak/>
        <w:t>system of wider interconnected dependency. As Jessica Weir notes, the Anthropocene has proven to be a useful conceptual tool in criticising prior narratives of ‘hyper-separation [that place] humans in a relation of mastery with respect to earth others and limit their capacity to respond to ecological devastation’.</w:t>
      </w:r>
      <w:r w:rsidRPr="004A2098">
        <w:rPr>
          <w:rFonts w:ascii="Times New Roman" w:eastAsiaTheme="minorHAnsi" w:hAnsi="Times New Roman" w:cs="Times New Roman"/>
          <w:szCs w:val="22"/>
          <w:vertAlign w:val="superscript"/>
          <w:lang w:eastAsia="en-US"/>
        </w:rPr>
        <w:footnoteReference w:id="5"/>
      </w:r>
      <w:r w:rsidRPr="004A2098">
        <w:rPr>
          <w:rFonts w:ascii="Times New Roman" w:eastAsiaTheme="minorHAnsi" w:hAnsi="Times New Roman" w:cs="Times New Roman"/>
          <w:szCs w:val="22"/>
          <w:lang w:eastAsia="en-US"/>
        </w:rPr>
        <w:t xml:space="preserve"> </w:t>
      </w:r>
    </w:p>
    <w:p w14:paraId="51D9DE16" w14:textId="77777777" w:rsidR="004A2098" w:rsidRPr="004A2098" w:rsidRDefault="004A2098" w:rsidP="004A2098">
      <w:pPr>
        <w:spacing w:after="0" w:line="480" w:lineRule="auto"/>
        <w:ind w:firstLine="720"/>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Many other historians, including those of empire, race, ethics, and materialism (to name but a few) have also adopted the language of Anthropocene. Importantly, however, none have done so wholesale and instead each new voice has provided critique and novel perspective on the conceptual framework the Anthropocene provides. Dipesh Chakrabarty and Kathleen Morrison have argued that from a postcolonial perspective the term’s use is too often western centric and shaped by a set of ‘cultural blinders [that] impede our understanding of the complex and diverse history of the earth system’.</w:t>
      </w:r>
      <w:r w:rsidRPr="004A2098">
        <w:rPr>
          <w:rFonts w:ascii="Times New Roman" w:eastAsiaTheme="minorHAnsi" w:hAnsi="Times New Roman" w:cs="Times New Roman"/>
          <w:szCs w:val="22"/>
          <w:vertAlign w:val="superscript"/>
          <w:lang w:eastAsia="en-US"/>
        </w:rPr>
        <w:footnoteReference w:id="6"/>
      </w:r>
      <w:r w:rsidRPr="004A2098">
        <w:rPr>
          <w:rFonts w:ascii="Times New Roman" w:eastAsiaTheme="minorHAnsi" w:hAnsi="Times New Roman" w:cs="Times New Roman"/>
          <w:szCs w:val="22"/>
          <w:lang w:eastAsia="en-US"/>
        </w:rPr>
        <w:t xml:space="preserve"> This is likely because ‘much of the discourse on the Anthropocene has been dominated by Western scientific perspectives’.</w:t>
      </w:r>
      <w:r w:rsidRPr="004A2098">
        <w:rPr>
          <w:rFonts w:ascii="Times New Roman" w:eastAsiaTheme="minorHAnsi" w:hAnsi="Times New Roman" w:cs="Times New Roman"/>
          <w:szCs w:val="22"/>
          <w:vertAlign w:val="superscript"/>
          <w:lang w:eastAsia="en-US"/>
        </w:rPr>
        <w:footnoteReference w:id="7"/>
      </w:r>
      <w:r w:rsidRPr="004A2098">
        <w:rPr>
          <w:rFonts w:ascii="Times New Roman" w:eastAsiaTheme="minorHAnsi" w:hAnsi="Times New Roman" w:cs="Times New Roman"/>
          <w:szCs w:val="22"/>
          <w:lang w:eastAsia="en-US"/>
        </w:rPr>
        <w:t xml:space="preserve"> Katherine Gibson and Julie Graham have put up ‘</w:t>
      </w:r>
      <w:proofErr w:type="spellStart"/>
      <w:r w:rsidRPr="004A2098">
        <w:rPr>
          <w:rFonts w:ascii="Times New Roman" w:eastAsiaTheme="minorHAnsi" w:hAnsi="Times New Roman" w:cs="Times New Roman"/>
          <w:szCs w:val="22"/>
          <w:lang w:eastAsia="en-US"/>
        </w:rPr>
        <w:t>capitalocene</w:t>
      </w:r>
      <w:proofErr w:type="spellEnd"/>
      <w:r w:rsidRPr="004A2098">
        <w:rPr>
          <w:rFonts w:ascii="Times New Roman" w:eastAsiaTheme="minorHAnsi" w:hAnsi="Times New Roman" w:cs="Times New Roman"/>
          <w:szCs w:val="22"/>
          <w:lang w:eastAsia="en-US"/>
        </w:rPr>
        <w:t>’ for consideration as an alternate that highlights the economic system’s role in contemporary climate chaos.</w:t>
      </w:r>
      <w:r w:rsidRPr="004A2098">
        <w:rPr>
          <w:rFonts w:ascii="Times New Roman" w:eastAsiaTheme="minorHAnsi" w:hAnsi="Times New Roman" w:cs="Times New Roman"/>
          <w:szCs w:val="22"/>
          <w:vertAlign w:val="superscript"/>
          <w:lang w:eastAsia="en-US"/>
        </w:rPr>
        <w:footnoteReference w:id="8"/>
      </w:r>
      <w:r w:rsidRPr="004A2098">
        <w:rPr>
          <w:rFonts w:ascii="Times New Roman" w:eastAsiaTheme="minorHAnsi" w:hAnsi="Times New Roman" w:cs="Times New Roman"/>
          <w:szCs w:val="22"/>
          <w:lang w:eastAsia="en-US"/>
        </w:rPr>
        <w:t xml:space="preserve"> Donna Haraway has contended ‘</w:t>
      </w:r>
      <w:proofErr w:type="spellStart"/>
      <w:r w:rsidRPr="004A2098">
        <w:rPr>
          <w:rFonts w:ascii="Times New Roman" w:eastAsiaTheme="minorHAnsi" w:hAnsi="Times New Roman" w:cs="Times New Roman"/>
          <w:szCs w:val="22"/>
          <w:lang w:eastAsia="en-US"/>
        </w:rPr>
        <w:t>cthulucene</w:t>
      </w:r>
      <w:proofErr w:type="spellEnd"/>
      <w:r w:rsidRPr="004A2098">
        <w:rPr>
          <w:rFonts w:ascii="Times New Roman" w:eastAsiaTheme="minorHAnsi" w:hAnsi="Times New Roman" w:cs="Times New Roman"/>
          <w:szCs w:val="22"/>
          <w:lang w:eastAsia="en-US"/>
        </w:rPr>
        <w:t>’ and ‘</w:t>
      </w:r>
      <w:proofErr w:type="spellStart"/>
      <w:r w:rsidRPr="004A2098">
        <w:rPr>
          <w:rFonts w:ascii="Times New Roman" w:eastAsiaTheme="minorHAnsi" w:hAnsi="Times New Roman" w:cs="Times New Roman"/>
          <w:szCs w:val="22"/>
          <w:lang w:eastAsia="en-US"/>
        </w:rPr>
        <w:t>plantationocene</w:t>
      </w:r>
      <w:proofErr w:type="spellEnd"/>
      <w:r w:rsidRPr="004A2098">
        <w:rPr>
          <w:rFonts w:ascii="Times New Roman" w:eastAsiaTheme="minorHAnsi" w:hAnsi="Times New Roman" w:cs="Times New Roman"/>
          <w:szCs w:val="22"/>
          <w:lang w:eastAsia="en-US"/>
        </w:rPr>
        <w:t>’ to be non-anthropocentric descriptors that better include life forms other than humans within their remit and ‘the ways that plantation logics organize modern economies, environments, bodies, and social relations’.</w:t>
      </w:r>
      <w:r w:rsidRPr="004A2098">
        <w:rPr>
          <w:rFonts w:ascii="Times New Roman" w:eastAsiaTheme="minorHAnsi" w:hAnsi="Times New Roman" w:cs="Times New Roman"/>
          <w:szCs w:val="22"/>
          <w:vertAlign w:val="superscript"/>
          <w:lang w:eastAsia="en-US"/>
        </w:rPr>
        <w:footnoteReference w:id="9"/>
      </w:r>
      <w:r w:rsidRPr="004A2098">
        <w:rPr>
          <w:rFonts w:ascii="Times New Roman" w:eastAsiaTheme="minorHAnsi" w:hAnsi="Times New Roman" w:cs="Times New Roman"/>
          <w:szCs w:val="22"/>
          <w:lang w:eastAsia="en-US"/>
        </w:rPr>
        <w:t xml:space="preserve"> Ultimately however, whilst the criticisms behind these proposed alternate terms are valid, they have remained as subcategories rather than risen to prominence because of Anthropocene’s preestablished prevalence and the fact that many academics see a utility in positioning ‘mankind’s growing </w:t>
      </w:r>
      <w:r w:rsidRPr="004A2098">
        <w:rPr>
          <w:rFonts w:ascii="Times New Roman" w:eastAsiaTheme="minorHAnsi" w:hAnsi="Times New Roman" w:cs="Times New Roman"/>
          <w:szCs w:val="22"/>
          <w:lang w:eastAsia="en-US"/>
        </w:rPr>
        <w:lastRenderedPageBreak/>
        <w:t>influence on the planet’ at the centre of the debate during the present age of threat to the planet’s existing climatic structures.</w:t>
      </w:r>
      <w:r w:rsidRPr="004A2098">
        <w:rPr>
          <w:rFonts w:ascii="Times New Roman" w:eastAsiaTheme="minorHAnsi" w:hAnsi="Times New Roman" w:cs="Times New Roman"/>
          <w:szCs w:val="22"/>
          <w:vertAlign w:val="superscript"/>
          <w:lang w:eastAsia="en-US"/>
        </w:rPr>
        <w:footnoteReference w:id="10"/>
      </w:r>
      <w:r w:rsidRPr="004A2098">
        <w:rPr>
          <w:rFonts w:ascii="Times New Roman" w:eastAsiaTheme="minorHAnsi" w:hAnsi="Times New Roman" w:cs="Times New Roman"/>
          <w:szCs w:val="22"/>
          <w:lang w:eastAsia="en-US"/>
        </w:rPr>
        <w:t xml:space="preserve"> ‘Saying that we live in the Anthropocene is a way of saying that we cannot avoid responsibility for the world we are making’, as Jedediah Purdy frames it.</w:t>
      </w:r>
      <w:r w:rsidRPr="004A2098">
        <w:rPr>
          <w:rFonts w:ascii="Times New Roman" w:eastAsiaTheme="minorHAnsi" w:hAnsi="Times New Roman" w:cs="Times New Roman"/>
          <w:szCs w:val="22"/>
          <w:vertAlign w:val="superscript"/>
          <w:lang w:eastAsia="en-US"/>
        </w:rPr>
        <w:footnoteReference w:id="11"/>
      </w:r>
    </w:p>
    <w:p w14:paraId="2E29E41C" w14:textId="77777777" w:rsidR="004A2098" w:rsidRPr="004A2098" w:rsidRDefault="004A2098" w:rsidP="004A2098">
      <w:pPr>
        <w:spacing w:after="0" w:line="480" w:lineRule="auto"/>
        <w:ind w:firstLine="720"/>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 xml:space="preserve">The possibilities of exploring the history of childhood through the lens of the Anthropocene is the area of study this essay will seek to define. Compared to histories of gender or race this relationship is an underexplored one within the historiography to date, although outside the discipline there has been greater interest in this line of enquiry. Education studies, perhaps unsurprisingly, has proven the pioneer in exploring the relationship between children, childhood, and the Anthropocene and has sought to ‘understand children and their lives as social actors enmeshed in complex social and material networks’ and to challenge the ‘presumed naturalness of childhood’, as David Blundell argues in </w:t>
      </w:r>
      <w:r w:rsidRPr="004A2098">
        <w:rPr>
          <w:rFonts w:ascii="Times New Roman" w:eastAsiaTheme="minorHAnsi" w:hAnsi="Times New Roman" w:cs="Times New Roman"/>
          <w:i/>
          <w:iCs/>
          <w:szCs w:val="22"/>
          <w:lang w:eastAsia="en-US"/>
        </w:rPr>
        <w:t>Children’s Lives Across the Anthropocene.</w:t>
      </w:r>
      <w:r w:rsidRPr="004A2098">
        <w:rPr>
          <w:rFonts w:ascii="Times New Roman" w:eastAsiaTheme="minorHAnsi" w:hAnsi="Times New Roman" w:cs="Times New Roman"/>
          <w:szCs w:val="22"/>
          <w:vertAlign w:val="superscript"/>
          <w:lang w:eastAsia="en-US"/>
        </w:rPr>
        <w:footnoteReference w:id="12"/>
      </w:r>
      <w:r w:rsidRPr="004A2098">
        <w:rPr>
          <w:rFonts w:ascii="Times New Roman" w:eastAsiaTheme="minorHAnsi" w:hAnsi="Times New Roman" w:cs="Times New Roman"/>
          <w:i/>
          <w:iCs/>
          <w:szCs w:val="22"/>
          <w:lang w:eastAsia="en-US"/>
        </w:rPr>
        <w:t xml:space="preserve">  </w:t>
      </w:r>
      <w:r w:rsidRPr="004A2098">
        <w:rPr>
          <w:rFonts w:ascii="Times New Roman" w:eastAsiaTheme="minorHAnsi" w:hAnsi="Times New Roman" w:cs="Times New Roman"/>
          <w:szCs w:val="22"/>
          <w:lang w:eastAsia="en-US"/>
        </w:rPr>
        <w:t>However, where articles such as these are rightly concerned with what Lili-Ann Wolff calls ‘the mission of early childhood education… in the epoch of the Anthropocene’</w:t>
      </w:r>
      <w:r w:rsidRPr="004A2098">
        <w:rPr>
          <w:rFonts w:ascii="Times New Roman" w:eastAsiaTheme="minorHAnsi" w:hAnsi="Times New Roman" w:cs="Times New Roman"/>
          <w:i/>
          <w:iCs/>
          <w:szCs w:val="22"/>
          <w:lang w:eastAsia="en-US"/>
        </w:rPr>
        <w:t xml:space="preserve">, </w:t>
      </w:r>
      <w:r w:rsidRPr="004A2098">
        <w:rPr>
          <w:rFonts w:ascii="Times New Roman" w:eastAsiaTheme="minorHAnsi" w:hAnsi="Times New Roman" w:cs="Times New Roman"/>
          <w:szCs w:val="22"/>
          <w:lang w:eastAsia="en-US"/>
        </w:rPr>
        <w:t>the lacking angle of the historian is one that explores how the Anthropocene as a concept can help us understand the manners in which environments have influenced childhoods in the past and how children have influenced them in turn.</w:t>
      </w:r>
      <w:r w:rsidRPr="004A2098">
        <w:rPr>
          <w:rFonts w:ascii="Times New Roman" w:eastAsiaTheme="minorHAnsi" w:hAnsi="Times New Roman" w:cs="Times New Roman"/>
          <w:szCs w:val="22"/>
          <w:vertAlign w:val="superscript"/>
          <w:lang w:eastAsia="en-US"/>
        </w:rPr>
        <w:footnoteReference w:id="13"/>
      </w:r>
      <w:r w:rsidRPr="004A2098">
        <w:rPr>
          <w:rFonts w:ascii="Times New Roman" w:eastAsiaTheme="minorHAnsi" w:hAnsi="Times New Roman" w:cs="Times New Roman"/>
          <w:szCs w:val="22"/>
          <w:lang w:eastAsia="en-US"/>
        </w:rPr>
        <w:t xml:space="preserve"> </w:t>
      </w:r>
    </w:p>
    <w:p w14:paraId="1820D227" w14:textId="77777777" w:rsidR="004A2098" w:rsidRPr="004A2098" w:rsidRDefault="004A2098" w:rsidP="004A2098">
      <w:pPr>
        <w:spacing w:after="0" w:line="480" w:lineRule="auto"/>
        <w:ind w:firstLine="720"/>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 xml:space="preserve">In great majority the historical analysis that has addressed this relationship thus far has come from the works of historians of childhood and has focussed on how children’s spaces have been constructed, construed, and controlled by adult society. In the British context Matthew Thompson’s key work </w:t>
      </w:r>
      <w:r w:rsidRPr="004A2098">
        <w:rPr>
          <w:rFonts w:ascii="Times New Roman" w:eastAsiaTheme="minorHAnsi" w:hAnsi="Times New Roman" w:cs="Times New Roman"/>
          <w:i/>
          <w:iCs/>
          <w:szCs w:val="22"/>
          <w:lang w:eastAsia="en-US"/>
        </w:rPr>
        <w:t>Lost Freedom: The Landscape of the Child and the British Post-War Settlement</w:t>
      </w:r>
      <w:r w:rsidRPr="004A2098">
        <w:rPr>
          <w:rFonts w:ascii="Times New Roman" w:eastAsiaTheme="minorHAnsi" w:hAnsi="Times New Roman" w:cs="Times New Roman"/>
          <w:szCs w:val="22"/>
          <w:lang w:eastAsia="en-US"/>
        </w:rPr>
        <w:t xml:space="preserve"> is a typical example of such work that argues for a post-war transition of </w:t>
      </w:r>
      <w:r w:rsidRPr="004A2098">
        <w:rPr>
          <w:rFonts w:ascii="Times New Roman" w:eastAsiaTheme="minorHAnsi" w:hAnsi="Times New Roman" w:cs="Times New Roman"/>
          <w:szCs w:val="22"/>
          <w:lang w:eastAsia="en-US"/>
        </w:rPr>
        <w:lastRenderedPageBreak/>
        <w:t>the relationship between children and the environment tending toward a ‘loss of freedom’ and a ‘turn toward increasing protection and restriction’ due to parental fears of strangers and cars.</w:t>
      </w:r>
      <w:r w:rsidRPr="004A2098">
        <w:rPr>
          <w:rFonts w:ascii="Times New Roman" w:eastAsiaTheme="minorHAnsi" w:hAnsi="Times New Roman" w:cs="Times New Roman"/>
          <w:szCs w:val="22"/>
          <w:vertAlign w:val="superscript"/>
          <w:lang w:eastAsia="en-US"/>
        </w:rPr>
        <w:footnoteReference w:id="14"/>
      </w:r>
      <w:r w:rsidRPr="004A2098">
        <w:rPr>
          <w:rFonts w:ascii="Times New Roman" w:eastAsiaTheme="minorHAnsi" w:hAnsi="Times New Roman" w:cs="Times New Roman"/>
          <w:szCs w:val="22"/>
          <w:lang w:eastAsia="en-US"/>
        </w:rPr>
        <w:t xml:space="preserve"> Similarly </w:t>
      </w:r>
      <w:r w:rsidRPr="004A2098">
        <w:rPr>
          <w:rFonts w:ascii="Times New Roman" w:eastAsiaTheme="minorHAnsi" w:hAnsi="Times New Roman" w:cs="Times New Roman"/>
          <w:szCs w:val="24"/>
          <w:lang w:eastAsia="en-US"/>
        </w:rPr>
        <w:t xml:space="preserve">Sian Edwards’ </w:t>
      </w:r>
      <w:r w:rsidRPr="004A2098">
        <w:rPr>
          <w:rFonts w:ascii="Times New Roman" w:eastAsiaTheme="minorHAnsi" w:hAnsi="Times New Roman" w:cs="Times New Roman"/>
          <w:i/>
          <w:iCs/>
          <w:szCs w:val="24"/>
          <w:lang w:eastAsia="en-US"/>
        </w:rPr>
        <w:t>Youth Movements, Citizenship and the English Countryside</w:t>
      </w:r>
      <w:r w:rsidRPr="004A2098">
        <w:rPr>
          <w:rFonts w:ascii="Times New Roman" w:eastAsiaTheme="minorHAnsi" w:hAnsi="Times New Roman" w:cs="Times New Roman"/>
          <w:szCs w:val="24"/>
          <w:lang w:eastAsia="en-US"/>
        </w:rPr>
        <w:t xml:space="preserve"> interrogates how the concept of the rural was adopted by organisations such as the scouts as an ‘antidote’ to a problematised urban sphere.</w:t>
      </w:r>
      <w:r w:rsidRPr="004A2098">
        <w:rPr>
          <w:rFonts w:ascii="Times New Roman" w:eastAsiaTheme="minorHAnsi" w:hAnsi="Times New Roman" w:cs="Times New Roman"/>
          <w:szCs w:val="24"/>
          <w:vertAlign w:val="superscript"/>
          <w:lang w:eastAsia="en-US"/>
        </w:rPr>
        <w:footnoteReference w:id="15"/>
      </w:r>
      <w:r w:rsidRPr="004A2098">
        <w:rPr>
          <w:rFonts w:ascii="Times New Roman" w:eastAsiaTheme="minorHAnsi" w:hAnsi="Times New Roman" w:cs="Times New Roman"/>
          <w:szCs w:val="24"/>
          <w:lang w:eastAsia="en-US"/>
        </w:rPr>
        <w:t xml:space="preserve"> </w:t>
      </w:r>
      <w:r w:rsidRPr="004A2098">
        <w:rPr>
          <w:rFonts w:ascii="Times New Roman" w:eastAsiaTheme="minorHAnsi" w:hAnsi="Times New Roman" w:cs="Times New Roman"/>
          <w:szCs w:val="22"/>
          <w:lang w:eastAsia="en-US"/>
        </w:rPr>
        <w:t xml:space="preserve">In the study of more recent history there has been an interest from historians such as Richard </w:t>
      </w:r>
      <w:proofErr w:type="spellStart"/>
      <w:r w:rsidRPr="004A2098">
        <w:rPr>
          <w:rFonts w:ascii="Times New Roman" w:eastAsiaTheme="minorHAnsi" w:hAnsi="Times New Roman" w:cs="Times New Roman"/>
          <w:szCs w:val="22"/>
          <w:lang w:eastAsia="en-US"/>
        </w:rPr>
        <w:t>Louv</w:t>
      </w:r>
      <w:proofErr w:type="spellEnd"/>
      <w:r w:rsidRPr="004A2098">
        <w:rPr>
          <w:rFonts w:ascii="Times New Roman" w:eastAsiaTheme="minorHAnsi" w:hAnsi="Times New Roman" w:cs="Times New Roman"/>
          <w:szCs w:val="22"/>
          <w:lang w:eastAsia="en-US"/>
        </w:rPr>
        <w:t xml:space="preserve"> in the denaturalisation of childhood in the “digital age”, that which mainstream media has branded ‘nature deficit disorder’ or what Ian Rotherham calls ‘cultural severance’.</w:t>
      </w:r>
      <w:r w:rsidRPr="004A2098">
        <w:rPr>
          <w:rFonts w:ascii="Times New Roman" w:eastAsiaTheme="minorHAnsi" w:hAnsi="Times New Roman" w:cs="Times New Roman"/>
          <w:szCs w:val="22"/>
          <w:vertAlign w:val="superscript"/>
          <w:lang w:eastAsia="en-US"/>
        </w:rPr>
        <w:footnoteReference w:id="16"/>
      </w:r>
      <w:r w:rsidRPr="004A2098">
        <w:rPr>
          <w:rFonts w:ascii="Times New Roman" w:eastAsiaTheme="minorHAnsi" w:hAnsi="Times New Roman" w:cs="Times New Roman"/>
          <w:szCs w:val="22"/>
          <w:lang w:eastAsia="en-US"/>
        </w:rPr>
        <w:t xml:space="preserve"> </w:t>
      </w:r>
    </w:p>
    <w:p w14:paraId="3E2ADCB0" w14:textId="77777777" w:rsidR="004A2098" w:rsidRPr="004A2098" w:rsidRDefault="004A2098" w:rsidP="004A2098">
      <w:pPr>
        <w:spacing w:after="0" w:line="480" w:lineRule="auto"/>
        <w:ind w:firstLine="720"/>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 xml:space="preserve">There have been fewer works on this topic from an environmental historian’s perspective, those there have been beginning with the history of the American frontier. Elliott West’s </w:t>
      </w:r>
      <w:r w:rsidRPr="004A2098">
        <w:rPr>
          <w:rFonts w:ascii="Times New Roman" w:eastAsiaTheme="minorHAnsi" w:hAnsi="Times New Roman" w:cs="Times New Roman"/>
          <w:i/>
          <w:iCs/>
          <w:szCs w:val="22"/>
          <w:lang w:eastAsia="en-US"/>
        </w:rPr>
        <w:t xml:space="preserve">Growing Up With the Country </w:t>
      </w:r>
      <w:r w:rsidRPr="004A2098">
        <w:rPr>
          <w:rFonts w:ascii="Times New Roman" w:eastAsiaTheme="minorHAnsi" w:hAnsi="Times New Roman" w:cs="Times New Roman"/>
          <w:szCs w:val="22"/>
          <w:lang w:eastAsia="en-US"/>
        </w:rPr>
        <w:t xml:space="preserve">(1989) is one foundational text of this type wherein </w:t>
      </w:r>
      <w:r w:rsidRPr="004A2098">
        <w:rPr>
          <w:rFonts w:ascii="Times New Roman" w:eastAsiaTheme="minorHAnsi" w:hAnsi="Times New Roman" w:cs="Times New Roman"/>
          <w:szCs w:val="24"/>
          <w:lang w:eastAsia="en-US"/>
        </w:rPr>
        <w:t>West finds that the fundamental difference between children and their elders on the frontier was in how they related to the landscape. For adults the frontier was something new but for children it was familiar, giving them a ‘kinship’ with it that was unique.</w:t>
      </w:r>
      <w:r w:rsidRPr="004A2098">
        <w:rPr>
          <w:rFonts w:ascii="Times New Roman" w:eastAsiaTheme="minorHAnsi" w:hAnsi="Times New Roman" w:cs="Times New Roman"/>
          <w:szCs w:val="24"/>
          <w:vertAlign w:val="superscript"/>
          <w:lang w:eastAsia="en-US"/>
        </w:rPr>
        <w:footnoteReference w:id="17"/>
      </w:r>
      <w:r w:rsidRPr="004A2098">
        <w:rPr>
          <w:rFonts w:ascii="Times New Roman" w:eastAsiaTheme="minorHAnsi" w:hAnsi="Times New Roman" w:cs="Times New Roman"/>
          <w:szCs w:val="24"/>
          <w:lang w:eastAsia="en-US"/>
        </w:rPr>
        <w:t xml:space="preserve"> The only attempt in monograph at a work such as this since has been Pamela </w:t>
      </w:r>
      <w:proofErr w:type="spellStart"/>
      <w:r w:rsidRPr="004A2098">
        <w:rPr>
          <w:rFonts w:ascii="Times New Roman" w:eastAsiaTheme="minorHAnsi" w:hAnsi="Times New Roman" w:cs="Times New Roman"/>
          <w:szCs w:val="24"/>
          <w:lang w:eastAsia="en-US"/>
        </w:rPr>
        <w:t>Riney-Kehrberg’s</w:t>
      </w:r>
      <w:proofErr w:type="spellEnd"/>
      <w:r w:rsidRPr="004A2098">
        <w:rPr>
          <w:rFonts w:ascii="Times New Roman" w:eastAsiaTheme="minorHAnsi" w:hAnsi="Times New Roman" w:cs="Times New Roman"/>
          <w:szCs w:val="24"/>
          <w:lang w:eastAsia="en-US"/>
        </w:rPr>
        <w:t xml:space="preserve"> </w:t>
      </w:r>
      <w:r w:rsidRPr="004A2098">
        <w:rPr>
          <w:rFonts w:ascii="Times New Roman" w:eastAsiaTheme="minorHAnsi" w:hAnsi="Times New Roman" w:cs="Times New Roman"/>
          <w:i/>
          <w:iCs/>
          <w:szCs w:val="24"/>
          <w:lang w:eastAsia="en-US"/>
        </w:rPr>
        <w:t>The Nature of Childhood: An Environmental History of Growing Up in America Since 1865</w:t>
      </w:r>
      <w:r w:rsidRPr="004A2098">
        <w:rPr>
          <w:rFonts w:ascii="Times New Roman" w:eastAsiaTheme="minorHAnsi" w:hAnsi="Times New Roman" w:cs="Times New Roman"/>
          <w:szCs w:val="24"/>
          <w:lang w:eastAsia="en-US"/>
        </w:rPr>
        <w:t xml:space="preserve"> which, similarly to </w:t>
      </w:r>
      <w:r w:rsidRPr="004A2098">
        <w:rPr>
          <w:rFonts w:ascii="Times New Roman" w:eastAsiaTheme="minorHAnsi" w:hAnsi="Times New Roman" w:cs="Times New Roman"/>
          <w:i/>
          <w:iCs/>
          <w:szCs w:val="24"/>
          <w:lang w:eastAsia="en-US"/>
        </w:rPr>
        <w:t>Lost Freedom</w:t>
      </w:r>
      <w:r w:rsidRPr="004A2098">
        <w:rPr>
          <w:rFonts w:ascii="Times New Roman" w:eastAsiaTheme="minorHAnsi" w:hAnsi="Times New Roman" w:cs="Times New Roman"/>
          <w:szCs w:val="24"/>
          <w:lang w:eastAsia="en-US"/>
        </w:rPr>
        <w:t>, charts what the author frames as a declension in the quantity and quality of interaction between children and environment over time.</w:t>
      </w:r>
      <w:r w:rsidRPr="004A2098">
        <w:rPr>
          <w:rFonts w:ascii="Times New Roman" w:eastAsiaTheme="minorHAnsi" w:hAnsi="Times New Roman" w:cs="Times New Roman"/>
          <w:szCs w:val="24"/>
          <w:vertAlign w:val="superscript"/>
          <w:lang w:eastAsia="en-US"/>
        </w:rPr>
        <w:footnoteReference w:id="18"/>
      </w:r>
      <w:r w:rsidRPr="004A2098">
        <w:rPr>
          <w:rFonts w:ascii="Times New Roman" w:eastAsiaTheme="minorHAnsi" w:hAnsi="Times New Roman" w:cs="Times New Roman"/>
          <w:szCs w:val="24"/>
          <w:lang w:eastAsia="en-US"/>
        </w:rPr>
        <w:t xml:space="preserve"> </w:t>
      </w:r>
      <w:r w:rsidRPr="004A2098">
        <w:rPr>
          <w:rFonts w:ascii="Times New Roman" w:eastAsiaTheme="minorHAnsi" w:hAnsi="Times New Roman" w:cs="Times New Roman"/>
          <w:szCs w:val="22"/>
          <w:lang w:eastAsia="en-US"/>
        </w:rPr>
        <w:t xml:space="preserve">However, as with the publications of education studies, the central perspective at the heart of all these works is one of the adult. The trend has been to ask how factors such as parenting, social policy, and architecture can influence and shape children and childhoods via changing environment, and whilst these are </w:t>
      </w:r>
      <w:r w:rsidRPr="004A2098">
        <w:rPr>
          <w:rFonts w:ascii="Times New Roman" w:eastAsiaTheme="minorHAnsi" w:hAnsi="Times New Roman" w:cs="Times New Roman"/>
          <w:szCs w:val="22"/>
          <w:lang w:eastAsia="en-US"/>
        </w:rPr>
        <w:lastRenderedPageBreak/>
        <w:t>important questions to ask, there is a surprisingly absent space left for “child-centred” and “environment-centred” narratives. This is one thing the introduction of the Anthropocene concept to the history of childhood affords, as with histories of gender and others before it, an opportunity for historians to highlight the unique experiences and relationships of children with their environments that stem from their independent agency. Whilst we might argue with some justification that the use of an alternative term such as “</w:t>
      </w:r>
      <w:proofErr w:type="spellStart"/>
      <w:r w:rsidRPr="004A2098">
        <w:rPr>
          <w:rFonts w:ascii="Times New Roman" w:eastAsiaTheme="minorHAnsi" w:hAnsi="Times New Roman" w:cs="Times New Roman"/>
          <w:szCs w:val="22"/>
          <w:lang w:eastAsia="en-US"/>
        </w:rPr>
        <w:t>adultocene</w:t>
      </w:r>
      <w:proofErr w:type="spellEnd"/>
      <w:r w:rsidRPr="004A2098">
        <w:rPr>
          <w:rFonts w:ascii="Times New Roman" w:eastAsiaTheme="minorHAnsi" w:hAnsi="Times New Roman" w:cs="Times New Roman"/>
          <w:szCs w:val="22"/>
          <w:lang w:eastAsia="en-US"/>
        </w:rPr>
        <w:t>” or “</w:t>
      </w:r>
      <w:proofErr w:type="spellStart"/>
      <w:r w:rsidRPr="004A2098">
        <w:rPr>
          <w:rFonts w:ascii="Times New Roman" w:eastAsiaTheme="minorHAnsi" w:hAnsi="Times New Roman" w:cs="Times New Roman"/>
          <w:szCs w:val="22"/>
          <w:lang w:eastAsia="en-US"/>
        </w:rPr>
        <w:t>ageocene</w:t>
      </w:r>
      <w:proofErr w:type="spellEnd"/>
      <w:r w:rsidRPr="004A2098">
        <w:rPr>
          <w:rFonts w:ascii="Times New Roman" w:eastAsiaTheme="minorHAnsi" w:hAnsi="Times New Roman" w:cs="Times New Roman"/>
          <w:szCs w:val="22"/>
          <w:lang w:eastAsia="en-US"/>
        </w:rPr>
        <w:t>” would better suit our needs, it will be more useful (and indeed, simpler) to explain how stories of children and childhood can be brought forward and made distinct from the “human experience” when using the Anthropocene as a framework of understanding.</w:t>
      </w:r>
    </w:p>
    <w:p w14:paraId="0D612076" w14:textId="77777777" w:rsidR="004A2098" w:rsidRPr="004A2098" w:rsidRDefault="004A2098" w:rsidP="004A2098">
      <w:pPr>
        <w:spacing w:after="0" w:line="480" w:lineRule="auto"/>
        <w:ind w:firstLine="720"/>
        <w:jc w:val="both"/>
        <w:rPr>
          <w:rFonts w:ascii="Times New Roman" w:eastAsiaTheme="minorHAnsi" w:hAnsi="Times New Roman" w:cs="Times New Roman"/>
          <w:i/>
          <w:iCs/>
          <w:szCs w:val="22"/>
          <w:lang w:eastAsia="en-US"/>
        </w:rPr>
      </w:pPr>
      <w:r w:rsidRPr="004A2098">
        <w:rPr>
          <w:rFonts w:ascii="Times New Roman" w:eastAsiaTheme="minorHAnsi" w:hAnsi="Times New Roman" w:cs="Times New Roman"/>
          <w:szCs w:val="22"/>
          <w:lang w:eastAsia="en-US"/>
        </w:rPr>
        <w:t xml:space="preserve">Approaching the history of childhood with this perspective gives the historian new questions to ask of their source material and new ways of answering them. How do children, through exploration, work, and play shape their own environments? How do their wants and needs, or those perceived, influence the attitudes and actions of adults toward children’s environments? In what ways does the Anthropocene as a force and a concept uniquely affect the lives of children, and in what ways do children affect the Anthropocene? Before investigating these further however, it must be acknowledged that it would be hypocritical whilst proselytising the importance of acknowledging divergent experiences of environment not to point out that “childhood” itself is not a universal experience. Within childhood there are a multitude of identities that will to greater or lesser extents modify one’s relationship with the Anthropocene. As one example from Fikile Nxumalo’s </w:t>
      </w:r>
      <w:r w:rsidRPr="004A2098">
        <w:rPr>
          <w:rFonts w:ascii="Times New Roman" w:eastAsiaTheme="minorHAnsi" w:hAnsi="Times New Roman" w:cs="Times New Roman"/>
          <w:i/>
          <w:iCs/>
          <w:szCs w:val="22"/>
          <w:lang w:eastAsia="en-US"/>
        </w:rPr>
        <w:t>Situating Indigenous and Black Childhoods in the Anthropocene</w:t>
      </w:r>
      <w:r w:rsidRPr="004A2098">
        <w:rPr>
          <w:rFonts w:ascii="Times New Roman" w:eastAsiaTheme="minorHAnsi" w:hAnsi="Times New Roman" w:cs="Times New Roman"/>
          <w:szCs w:val="22"/>
          <w:lang w:eastAsia="en-US"/>
        </w:rPr>
        <w:t>:</w:t>
      </w:r>
    </w:p>
    <w:p w14:paraId="6226FE25" w14:textId="77777777" w:rsidR="004A2098" w:rsidRPr="004A2098" w:rsidRDefault="004A2098" w:rsidP="004A2098">
      <w:pPr>
        <w:spacing w:after="0" w:line="480" w:lineRule="auto"/>
        <w:jc w:val="both"/>
        <w:rPr>
          <w:rFonts w:ascii="Times New Roman" w:eastAsiaTheme="minorHAnsi" w:hAnsi="Times New Roman" w:cs="Times New Roman"/>
          <w:szCs w:val="22"/>
          <w:lang w:eastAsia="en-US"/>
        </w:rPr>
      </w:pPr>
    </w:p>
    <w:p w14:paraId="0CF0C2E3" w14:textId="77777777" w:rsidR="004A2098" w:rsidRPr="004A2098" w:rsidRDefault="004A2098" w:rsidP="004A2098">
      <w:pPr>
        <w:spacing w:after="0" w:line="360" w:lineRule="auto"/>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 xml:space="preserve">‘school gardens for young Black children in urban schools are often positioned from deficit perspectives, as a way to bring nature to certain children who lack it. Here nature becomes </w:t>
      </w:r>
      <w:r w:rsidRPr="004A2098">
        <w:rPr>
          <w:rFonts w:ascii="Times New Roman" w:eastAsiaTheme="minorHAnsi" w:hAnsi="Times New Roman" w:cs="Times New Roman"/>
          <w:szCs w:val="22"/>
          <w:lang w:eastAsia="en-US"/>
        </w:rPr>
        <w:lastRenderedPageBreak/>
        <w:t>entangled with anti-blackness as it is positioned as a site of potential transformation for Black children deemed at risk or lacking “normal” connections with nature’</w:t>
      </w:r>
      <w:r w:rsidRPr="004A2098">
        <w:rPr>
          <w:rFonts w:ascii="Times New Roman" w:eastAsiaTheme="minorHAnsi" w:hAnsi="Times New Roman" w:cs="Times New Roman"/>
          <w:szCs w:val="22"/>
          <w:vertAlign w:val="superscript"/>
          <w:lang w:eastAsia="en-US"/>
        </w:rPr>
        <w:footnoteReference w:id="19"/>
      </w:r>
    </w:p>
    <w:p w14:paraId="0B713218" w14:textId="77777777" w:rsidR="004A2098" w:rsidRPr="004A2098" w:rsidRDefault="004A2098" w:rsidP="004A2098">
      <w:pPr>
        <w:spacing w:after="0" w:line="360" w:lineRule="auto"/>
        <w:jc w:val="both"/>
        <w:rPr>
          <w:rFonts w:ascii="Times New Roman" w:eastAsiaTheme="minorHAnsi" w:hAnsi="Times New Roman" w:cs="Times New Roman"/>
          <w:szCs w:val="22"/>
          <w:lang w:eastAsia="en-US"/>
        </w:rPr>
      </w:pPr>
    </w:p>
    <w:p w14:paraId="109B7BF8" w14:textId="77777777" w:rsidR="004A2098" w:rsidRPr="004A2098" w:rsidRDefault="004A2098" w:rsidP="004A2098">
      <w:pPr>
        <w:spacing w:after="0" w:line="480" w:lineRule="auto"/>
        <w:jc w:val="both"/>
        <w:rPr>
          <w:rFonts w:ascii="Times New Roman" w:eastAsiaTheme="minorHAnsi" w:hAnsi="Times New Roman" w:cs="Times New Roman"/>
          <w:sz w:val="23"/>
          <w:szCs w:val="23"/>
          <w:lang w:eastAsia="en-US"/>
        </w:rPr>
      </w:pPr>
      <w:r w:rsidRPr="004A2098">
        <w:rPr>
          <w:rFonts w:ascii="Times New Roman" w:eastAsiaTheme="minorHAnsi" w:hAnsi="Times New Roman" w:cs="Times New Roman"/>
          <w:szCs w:val="22"/>
          <w:lang w:eastAsia="en-US"/>
        </w:rPr>
        <w:t xml:space="preserve">A similar argument could be made with regard to working class children who are perceived to be lesser for their lacking something that those of middle-class parentage typically have. As </w:t>
      </w:r>
      <w:proofErr w:type="spellStart"/>
      <w:r w:rsidRPr="004A2098">
        <w:rPr>
          <w:rFonts w:ascii="Times New Roman" w:eastAsiaTheme="minorHAnsi" w:hAnsi="Times New Roman" w:cs="Times New Roman"/>
          <w:sz w:val="23"/>
          <w:szCs w:val="23"/>
          <w:lang w:eastAsia="en-US"/>
        </w:rPr>
        <w:t>Affrica</w:t>
      </w:r>
      <w:proofErr w:type="spellEnd"/>
      <w:r w:rsidRPr="004A2098">
        <w:rPr>
          <w:rFonts w:ascii="Times New Roman" w:eastAsiaTheme="minorHAnsi" w:hAnsi="Times New Roman" w:cs="Times New Roman"/>
          <w:sz w:val="23"/>
          <w:szCs w:val="23"/>
          <w:lang w:eastAsia="en-US"/>
        </w:rPr>
        <w:t xml:space="preserve"> Taylor summarises: ‘The assertion that children need nature has become commonplace, but should we ask which children?’.</w:t>
      </w:r>
      <w:r w:rsidRPr="004A2098">
        <w:rPr>
          <w:rFonts w:ascii="Times New Roman" w:eastAsiaTheme="minorHAnsi" w:hAnsi="Times New Roman" w:cs="Times New Roman"/>
          <w:sz w:val="23"/>
          <w:szCs w:val="23"/>
          <w:vertAlign w:val="superscript"/>
          <w:lang w:eastAsia="en-US"/>
        </w:rPr>
        <w:footnoteReference w:id="20"/>
      </w:r>
      <w:r w:rsidRPr="004A2098">
        <w:rPr>
          <w:rFonts w:ascii="Times New Roman" w:eastAsiaTheme="minorHAnsi" w:hAnsi="Times New Roman" w:cs="Times New Roman"/>
          <w:sz w:val="23"/>
          <w:szCs w:val="23"/>
          <w:lang w:eastAsia="en-US"/>
        </w:rPr>
        <w:t xml:space="preserve"> </w:t>
      </w:r>
      <w:r w:rsidRPr="004A2098">
        <w:rPr>
          <w:rFonts w:ascii="Times New Roman" w:eastAsiaTheme="minorHAnsi" w:hAnsi="Times New Roman" w:cs="Times New Roman"/>
          <w:szCs w:val="22"/>
          <w:lang w:eastAsia="en-US"/>
        </w:rPr>
        <w:t xml:space="preserve">This essay, iterating and evolving upon the existing historiography and source material pertaining to British childhoods (predominantly southern urban ones), cannot claim to speak with authority on </w:t>
      </w:r>
      <w:r w:rsidRPr="004A2098">
        <w:rPr>
          <w:rFonts w:ascii="Times New Roman" w:eastAsiaTheme="minorHAnsi" w:hAnsi="Times New Roman" w:cs="Times New Roman"/>
          <w:i/>
          <w:iCs/>
          <w:szCs w:val="22"/>
          <w:lang w:eastAsia="en-US"/>
        </w:rPr>
        <w:t>the</w:t>
      </w:r>
      <w:r w:rsidRPr="004A2098">
        <w:rPr>
          <w:rFonts w:ascii="Times New Roman" w:eastAsiaTheme="minorHAnsi" w:hAnsi="Times New Roman" w:cs="Times New Roman"/>
          <w:szCs w:val="22"/>
          <w:lang w:eastAsia="en-US"/>
        </w:rPr>
        <w:t xml:space="preserve"> childhood or environmental experience. However, it is an example of how the Anthropocene can assist us in examining </w:t>
      </w:r>
      <w:r w:rsidRPr="004A2098">
        <w:rPr>
          <w:rFonts w:ascii="Times New Roman" w:eastAsiaTheme="minorHAnsi" w:hAnsi="Times New Roman" w:cs="Times New Roman"/>
          <w:i/>
          <w:iCs/>
          <w:szCs w:val="22"/>
          <w:lang w:eastAsia="en-US"/>
        </w:rPr>
        <w:t>a</w:t>
      </w:r>
      <w:r w:rsidRPr="004A2098">
        <w:rPr>
          <w:rFonts w:ascii="Times New Roman" w:eastAsiaTheme="minorHAnsi" w:hAnsi="Times New Roman" w:cs="Times New Roman"/>
          <w:szCs w:val="22"/>
          <w:lang w:eastAsia="en-US"/>
        </w:rPr>
        <w:t xml:space="preserve"> history of childhood, and a pointer toward new avenues for inquiry and potentials in exploring this conceptual marriage further. </w:t>
      </w:r>
    </w:p>
    <w:p w14:paraId="37EF83E1" w14:textId="77777777" w:rsidR="004A2098" w:rsidRPr="004A2098" w:rsidRDefault="004A2098" w:rsidP="004A2098">
      <w:pPr>
        <w:spacing w:after="0" w:line="480" w:lineRule="auto"/>
        <w:jc w:val="both"/>
        <w:rPr>
          <w:rFonts w:ascii="Times New Roman" w:eastAsiaTheme="minorHAnsi" w:hAnsi="Times New Roman" w:cs="Times New Roman"/>
          <w:sz w:val="23"/>
          <w:szCs w:val="23"/>
          <w:lang w:eastAsia="en-US"/>
        </w:rPr>
      </w:pPr>
    </w:p>
    <w:p w14:paraId="7AA31DB6" w14:textId="77777777" w:rsidR="004A2098" w:rsidRPr="004A2098" w:rsidRDefault="004A2098" w:rsidP="004A2098">
      <w:pPr>
        <w:spacing w:after="0" w:line="480" w:lineRule="auto"/>
        <w:jc w:val="center"/>
        <w:rPr>
          <w:rFonts w:ascii="Times New Roman" w:eastAsiaTheme="minorHAnsi" w:hAnsi="Times New Roman" w:cs="Times New Roman"/>
          <w:sz w:val="28"/>
          <w:szCs w:val="24"/>
          <w:lang w:eastAsia="en-US"/>
        </w:rPr>
      </w:pPr>
      <w:r w:rsidRPr="004A2098">
        <w:rPr>
          <w:rFonts w:ascii="Times New Roman" w:eastAsiaTheme="minorHAnsi" w:hAnsi="Times New Roman" w:cs="Times New Roman"/>
          <w:sz w:val="28"/>
          <w:szCs w:val="24"/>
          <w:lang w:eastAsia="en-US"/>
        </w:rPr>
        <w:t>“</w:t>
      </w:r>
      <w:proofErr w:type="spellStart"/>
      <w:r w:rsidRPr="004A2098">
        <w:rPr>
          <w:rFonts w:ascii="Times New Roman" w:eastAsiaTheme="minorHAnsi" w:hAnsi="Times New Roman" w:cs="Times New Roman"/>
          <w:sz w:val="28"/>
          <w:szCs w:val="24"/>
          <w:lang w:eastAsia="en-US"/>
        </w:rPr>
        <w:t>Presencing</w:t>
      </w:r>
      <w:proofErr w:type="spellEnd"/>
      <w:r w:rsidRPr="004A2098">
        <w:rPr>
          <w:rFonts w:ascii="Times New Roman" w:eastAsiaTheme="minorHAnsi" w:hAnsi="Times New Roman" w:cs="Times New Roman"/>
          <w:sz w:val="28"/>
          <w:szCs w:val="24"/>
          <w:lang w:eastAsia="en-US"/>
        </w:rPr>
        <w:t>” Children in the Anthropocene</w:t>
      </w:r>
    </w:p>
    <w:p w14:paraId="5EB7BA30" w14:textId="77777777" w:rsidR="004A2098" w:rsidRPr="004A2098" w:rsidRDefault="004A2098" w:rsidP="004A2098">
      <w:pPr>
        <w:spacing w:after="0" w:line="480" w:lineRule="auto"/>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Despite the present dearth of historical material that seeks to presence children in the Anthropocene, the basis for study of such a relationship is strong, as western societies have long presupposed a connection between children and the natural world deeper than that of their elders. As historians of race and gender have already demonstrated, the dichotomy built between the human and natural worlds in the past has been inextricably bound to dichotomies drawn between certain groups of people and what society considers the “normal”.</w:t>
      </w:r>
      <w:r w:rsidRPr="004A2098">
        <w:rPr>
          <w:rFonts w:ascii="Times New Roman" w:eastAsiaTheme="minorHAnsi" w:hAnsi="Times New Roman" w:cs="Times New Roman"/>
          <w:szCs w:val="22"/>
          <w:vertAlign w:val="superscript"/>
          <w:lang w:eastAsia="en-US"/>
        </w:rPr>
        <w:footnoteReference w:id="21"/>
      </w:r>
      <w:r w:rsidRPr="004A2098">
        <w:rPr>
          <w:rFonts w:ascii="Times New Roman" w:eastAsiaTheme="minorHAnsi" w:hAnsi="Times New Roman" w:cs="Times New Roman"/>
          <w:szCs w:val="22"/>
          <w:lang w:eastAsia="en-US"/>
        </w:rPr>
        <w:t xml:space="preserve"> Anthropocene narratives that require a radical shift in the way humanity as a species constructs its own image of self are useful challengers to these old oppositions. However, for this essay it is important to understand the enlightenment philosophies of the 18</w:t>
      </w:r>
      <w:r w:rsidRPr="004A2098">
        <w:rPr>
          <w:rFonts w:ascii="Times New Roman" w:eastAsiaTheme="minorHAnsi" w:hAnsi="Times New Roman" w:cs="Times New Roman"/>
          <w:szCs w:val="22"/>
          <w:vertAlign w:val="superscript"/>
          <w:lang w:eastAsia="en-US"/>
        </w:rPr>
        <w:t>th</w:t>
      </w:r>
      <w:r w:rsidRPr="004A2098">
        <w:rPr>
          <w:rFonts w:ascii="Times New Roman" w:eastAsiaTheme="minorHAnsi" w:hAnsi="Times New Roman" w:cs="Times New Roman"/>
          <w:szCs w:val="22"/>
          <w:lang w:eastAsia="en-US"/>
        </w:rPr>
        <w:t xml:space="preserve"> and 19</w:t>
      </w:r>
      <w:r w:rsidRPr="004A2098">
        <w:rPr>
          <w:rFonts w:ascii="Times New Roman" w:eastAsiaTheme="minorHAnsi" w:hAnsi="Times New Roman" w:cs="Times New Roman"/>
          <w:szCs w:val="22"/>
          <w:vertAlign w:val="superscript"/>
          <w:lang w:eastAsia="en-US"/>
        </w:rPr>
        <w:t>th</w:t>
      </w:r>
      <w:r w:rsidRPr="004A2098">
        <w:rPr>
          <w:rFonts w:ascii="Times New Roman" w:eastAsiaTheme="minorHAnsi" w:hAnsi="Times New Roman" w:cs="Times New Roman"/>
          <w:szCs w:val="22"/>
          <w:lang w:eastAsia="en-US"/>
        </w:rPr>
        <w:t xml:space="preserve"> centuries which </w:t>
      </w:r>
      <w:r w:rsidRPr="004A2098">
        <w:rPr>
          <w:rFonts w:ascii="Times New Roman" w:eastAsiaTheme="minorHAnsi" w:hAnsi="Times New Roman" w:cs="Times New Roman"/>
          <w:szCs w:val="22"/>
          <w:lang w:eastAsia="en-US"/>
        </w:rPr>
        <w:lastRenderedPageBreak/>
        <w:t xml:space="preserve">defined (and still define) the strong perceived links between children and nature in European society today before we can appreciate how the Anthropocene concept contests them. </w:t>
      </w:r>
    </w:p>
    <w:p w14:paraId="496EB301" w14:textId="77777777" w:rsidR="004A2098" w:rsidRPr="004A2098" w:rsidRDefault="004A2098" w:rsidP="004A2098">
      <w:pPr>
        <w:spacing w:after="0" w:line="480" w:lineRule="auto"/>
        <w:ind w:firstLine="720"/>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 xml:space="preserve">In broad perspective the enlightenment birthed two competing schools of thought regarding children and environment, the rationalist, and the romanticist. The romantic movement began with works such as those of Jean-Jacques Rousseau and then William Blake, Mary Shelley, and Alfred Tennyson in reaction to the increasingly rationalism-informed industrial European world those authors inhabited. The predominantly emotional countercultural arguments they presented knotted children and the natural world together as joint symbols of hope that were not only innocent and pure in and of themselves but lent an innocence and purity to one another. Their relationship was symbiotic, children were a part of the natural world in a way that adults were not, and could not, be. As Rousseau argues in </w:t>
      </w:r>
      <w:r w:rsidRPr="004A2098">
        <w:rPr>
          <w:rFonts w:ascii="Times New Roman" w:eastAsiaTheme="minorHAnsi" w:hAnsi="Times New Roman" w:cs="Times New Roman"/>
          <w:i/>
          <w:iCs/>
          <w:szCs w:val="22"/>
          <w:lang w:eastAsia="en-US"/>
        </w:rPr>
        <w:t xml:space="preserve">On Education </w:t>
      </w:r>
      <w:r w:rsidRPr="004A2098">
        <w:rPr>
          <w:rFonts w:ascii="Times New Roman" w:eastAsiaTheme="minorHAnsi" w:hAnsi="Times New Roman" w:cs="Times New Roman"/>
          <w:szCs w:val="22"/>
          <w:lang w:eastAsia="en-US"/>
        </w:rPr>
        <w:t>(1763), childhood should be defined by teaching that is ‘beyond our control’ and follows ‘the goal of nature’.</w:t>
      </w:r>
      <w:r w:rsidRPr="004A2098">
        <w:rPr>
          <w:rFonts w:ascii="Times New Roman" w:eastAsiaTheme="minorHAnsi" w:hAnsi="Times New Roman" w:cs="Times New Roman"/>
          <w:szCs w:val="22"/>
          <w:vertAlign w:val="superscript"/>
          <w:lang w:eastAsia="en-US"/>
        </w:rPr>
        <w:footnoteReference w:id="22"/>
      </w:r>
      <w:r w:rsidRPr="004A2098">
        <w:rPr>
          <w:rFonts w:ascii="Times New Roman" w:eastAsiaTheme="minorHAnsi" w:hAnsi="Times New Roman" w:cs="Times New Roman"/>
          <w:szCs w:val="22"/>
          <w:lang w:eastAsia="en-US"/>
        </w:rPr>
        <w:t xml:space="preserve"> William Blake’s “Nurse’s Song” in </w:t>
      </w:r>
      <w:r w:rsidRPr="004A2098">
        <w:rPr>
          <w:rFonts w:ascii="Times New Roman" w:eastAsiaTheme="minorHAnsi" w:hAnsi="Times New Roman" w:cs="Times New Roman"/>
          <w:i/>
          <w:iCs/>
          <w:szCs w:val="22"/>
          <w:lang w:eastAsia="en-US"/>
        </w:rPr>
        <w:t xml:space="preserve">Songs of Innocence and of Experience </w:t>
      </w:r>
      <w:r w:rsidRPr="004A2098">
        <w:rPr>
          <w:rFonts w:ascii="Times New Roman" w:eastAsiaTheme="minorHAnsi" w:hAnsi="Times New Roman" w:cs="Times New Roman"/>
          <w:szCs w:val="22"/>
          <w:lang w:eastAsia="en-US"/>
        </w:rPr>
        <w:t>(1794) similarly conjures images of an ideal youth as natural and pure:</w:t>
      </w:r>
    </w:p>
    <w:p w14:paraId="36D618F6" w14:textId="77777777" w:rsidR="004A2098" w:rsidRPr="004A2098" w:rsidRDefault="004A2098" w:rsidP="004A2098">
      <w:pPr>
        <w:spacing w:after="0" w:line="480" w:lineRule="auto"/>
        <w:jc w:val="both"/>
        <w:rPr>
          <w:rFonts w:ascii="Times New Roman" w:eastAsiaTheme="minorHAnsi" w:hAnsi="Times New Roman" w:cs="Times New Roman"/>
          <w:szCs w:val="22"/>
          <w:lang w:eastAsia="en-US"/>
        </w:rPr>
      </w:pPr>
    </w:p>
    <w:p w14:paraId="4E8868E9" w14:textId="77777777" w:rsidR="004A2098" w:rsidRPr="004A2098" w:rsidRDefault="004A2098" w:rsidP="004A2098">
      <w:pPr>
        <w:spacing w:after="0" w:line="360" w:lineRule="auto"/>
        <w:jc w:val="center"/>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‘When the voices of children are heard on the green</w:t>
      </w:r>
    </w:p>
    <w:p w14:paraId="622DA0CA" w14:textId="77777777" w:rsidR="004A2098" w:rsidRPr="004A2098" w:rsidRDefault="004A2098" w:rsidP="004A2098">
      <w:pPr>
        <w:spacing w:after="0" w:line="360" w:lineRule="auto"/>
        <w:jc w:val="center"/>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And laughing is heard on the hill,</w:t>
      </w:r>
    </w:p>
    <w:p w14:paraId="0B7E3FAD" w14:textId="77777777" w:rsidR="004A2098" w:rsidRPr="004A2098" w:rsidRDefault="004A2098" w:rsidP="004A2098">
      <w:pPr>
        <w:spacing w:after="0" w:line="360" w:lineRule="auto"/>
        <w:jc w:val="center"/>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My heart is at rest within my breast</w:t>
      </w:r>
    </w:p>
    <w:p w14:paraId="055D7E9B" w14:textId="77777777" w:rsidR="004A2098" w:rsidRPr="004A2098" w:rsidRDefault="004A2098" w:rsidP="004A2098">
      <w:pPr>
        <w:spacing w:after="0" w:line="360" w:lineRule="auto"/>
        <w:jc w:val="center"/>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 xml:space="preserve">And </w:t>
      </w:r>
      <w:proofErr w:type="spellStart"/>
      <w:r w:rsidRPr="004A2098">
        <w:rPr>
          <w:rFonts w:ascii="Times New Roman" w:eastAsiaTheme="minorHAnsi" w:hAnsi="Times New Roman" w:cs="Times New Roman"/>
          <w:szCs w:val="22"/>
          <w:lang w:eastAsia="en-US"/>
        </w:rPr>
        <w:t>every thing</w:t>
      </w:r>
      <w:proofErr w:type="spellEnd"/>
      <w:r w:rsidRPr="004A2098">
        <w:rPr>
          <w:rFonts w:ascii="Times New Roman" w:eastAsiaTheme="minorHAnsi" w:hAnsi="Times New Roman" w:cs="Times New Roman"/>
          <w:szCs w:val="22"/>
          <w:lang w:eastAsia="en-US"/>
        </w:rPr>
        <w:t xml:space="preserve"> else is still’</w:t>
      </w:r>
      <w:r w:rsidRPr="004A2098">
        <w:rPr>
          <w:rFonts w:ascii="Times New Roman" w:eastAsiaTheme="minorHAnsi" w:hAnsi="Times New Roman" w:cs="Times New Roman"/>
          <w:szCs w:val="22"/>
          <w:vertAlign w:val="superscript"/>
          <w:lang w:eastAsia="en-US"/>
        </w:rPr>
        <w:footnoteReference w:id="23"/>
      </w:r>
    </w:p>
    <w:p w14:paraId="6ECEC0F8" w14:textId="77777777" w:rsidR="004A2098" w:rsidRPr="004A2098" w:rsidRDefault="004A2098" w:rsidP="004A2098">
      <w:pPr>
        <w:spacing w:after="0" w:line="480" w:lineRule="auto"/>
        <w:jc w:val="both"/>
        <w:rPr>
          <w:rFonts w:ascii="Times New Roman" w:eastAsiaTheme="minorHAnsi" w:hAnsi="Times New Roman" w:cs="Times New Roman"/>
          <w:szCs w:val="22"/>
          <w:lang w:eastAsia="en-US"/>
        </w:rPr>
      </w:pPr>
    </w:p>
    <w:p w14:paraId="0CCDE0EF" w14:textId="77777777" w:rsidR="004A2098" w:rsidRPr="004A2098" w:rsidRDefault="004A2098" w:rsidP="004A2098">
      <w:pPr>
        <w:spacing w:after="0" w:line="480" w:lineRule="auto"/>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On the other, more instrumentally influential, side of this debate were the rationalist thinkers such as René Descartes, Immanuel Kant, and John Locke. Their lines of philosophy, just as present in the 21</w:t>
      </w:r>
      <w:r w:rsidRPr="004A2098">
        <w:rPr>
          <w:rFonts w:ascii="Times New Roman" w:eastAsiaTheme="minorHAnsi" w:hAnsi="Times New Roman" w:cs="Times New Roman"/>
          <w:szCs w:val="22"/>
          <w:vertAlign w:val="superscript"/>
          <w:lang w:eastAsia="en-US"/>
        </w:rPr>
        <w:t>st</w:t>
      </w:r>
      <w:r w:rsidRPr="004A2098">
        <w:rPr>
          <w:rFonts w:ascii="Times New Roman" w:eastAsiaTheme="minorHAnsi" w:hAnsi="Times New Roman" w:cs="Times New Roman"/>
          <w:szCs w:val="22"/>
          <w:lang w:eastAsia="en-US"/>
        </w:rPr>
        <w:t xml:space="preserve"> century as those of the romanticists, saw nature as a force of reason, the basis of order and reason, even. However, where romanticists sought to learn from a nature they saw </w:t>
      </w:r>
      <w:r w:rsidRPr="004A2098">
        <w:rPr>
          <w:rFonts w:ascii="Times New Roman" w:eastAsiaTheme="minorHAnsi" w:hAnsi="Times New Roman" w:cs="Times New Roman"/>
          <w:szCs w:val="22"/>
          <w:lang w:eastAsia="en-US"/>
        </w:rPr>
        <w:lastRenderedPageBreak/>
        <w:t xml:space="preserve">as inscrutable, the rationalists desired to understand and control a nature they considered as being fundamentally conquerable. John Locke’s </w:t>
      </w:r>
      <w:r w:rsidRPr="004A2098">
        <w:rPr>
          <w:rFonts w:ascii="Times New Roman" w:eastAsiaTheme="minorHAnsi" w:hAnsi="Times New Roman" w:cs="Times New Roman"/>
          <w:i/>
          <w:iCs/>
          <w:szCs w:val="22"/>
          <w:lang w:eastAsia="en-US"/>
        </w:rPr>
        <w:t xml:space="preserve">An Essay Concerning Human Understanding </w:t>
      </w:r>
      <w:r w:rsidRPr="004A2098">
        <w:rPr>
          <w:rFonts w:ascii="Times New Roman" w:eastAsiaTheme="minorHAnsi" w:hAnsi="Times New Roman" w:cs="Times New Roman"/>
          <w:szCs w:val="22"/>
          <w:lang w:eastAsia="en-US"/>
        </w:rPr>
        <w:t>(1689) exemplifies this approach with his famous description of children as being ‘tabula rasa’, a blank slate.</w:t>
      </w:r>
      <w:r w:rsidRPr="004A2098">
        <w:rPr>
          <w:rFonts w:ascii="Times New Roman" w:eastAsiaTheme="minorHAnsi" w:hAnsi="Times New Roman" w:cs="Times New Roman"/>
          <w:szCs w:val="22"/>
          <w:vertAlign w:val="superscript"/>
          <w:lang w:eastAsia="en-US"/>
        </w:rPr>
        <w:footnoteReference w:id="24"/>
      </w:r>
      <w:r w:rsidRPr="004A2098">
        <w:rPr>
          <w:rFonts w:ascii="Times New Roman" w:eastAsiaTheme="minorHAnsi" w:hAnsi="Times New Roman" w:cs="Times New Roman"/>
          <w:szCs w:val="22"/>
          <w:lang w:eastAsia="en-US"/>
        </w:rPr>
        <w:t xml:space="preserve"> In Locke’s view the child, like nature, would become wild if not carefully managed, but with the correct instruction they could be formed into an instrument of reason. Whilst it is tempting to reduce this tension between romanticism and rationalism to “nature versus nurture”, as William Cronon and Thomas Dunlap warn in </w:t>
      </w:r>
      <w:r w:rsidRPr="004A2098">
        <w:rPr>
          <w:rFonts w:ascii="Times New Roman" w:eastAsiaTheme="minorHAnsi" w:hAnsi="Times New Roman" w:cs="Times New Roman"/>
          <w:i/>
          <w:iCs/>
          <w:szCs w:val="22"/>
          <w:lang w:eastAsia="en-US"/>
        </w:rPr>
        <w:t>Faith in Nature</w:t>
      </w:r>
      <w:r w:rsidRPr="004A2098">
        <w:rPr>
          <w:rFonts w:ascii="Times New Roman" w:eastAsiaTheme="minorHAnsi" w:hAnsi="Times New Roman" w:cs="Times New Roman"/>
          <w:szCs w:val="22"/>
          <w:lang w:eastAsia="en-US"/>
        </w:rPr>
        <w:t>, both ideologies incorporated aspects of the other and looked to the natural world as a unifying, present force that could replace a role in society that had traditionally been fulfilled by religion.</w:t>
      </w:r>
      <w:r w:rsidRPr="004A2098">
        <w:rPr>
          <w:rFonts w:ascii="Times New Roman" w:eastAsiaTheme="minorHAnsi" w:hAnsi="Times New Roman" w:cs="Times New Roman"/>
          <w:szCs w:val="22"/>
          <w:vertAlign w:val="superscript"/>
          <w:lang w:eastAsia="en-US"/>
        </w:rPr>
        <w:footnoteReference w:id="25"/>
      </w:r>
      <w:r w:rsidRPr="004A2098">
        <w:rPr>
          <w:rFonts w:ascii="Times New Roman" w:eastAsiaTheme="minorHAnsi" w:hAnsi="Times New Roman" w:cs="Times New Roman"/>
          <w:szCs w:val="22"/>
          <w:lang w:eastAsia="en-US"/>
        </w:rPr>
        <w:t xml:space="preserve"> As Sara Maitland writes in </w:t>
      </w:r>
      <w:r w:rsidRPr="004A2098">
        <w:rPr>
          <w:rFonts w:ascii="Times New Roman" w:eastAsiaTheme="minorHAnsi" w:hAnsi="Times New Roman" w:cs="Times New Roman"/>
          <w:i/>
          <w:iCs/>
          <w:szCs w:val="22"/>
          <w:lang w:eastAsia="en-US"/>
        </w:rPr>
        <w:t>Gossip From the Forest</w:t>
      </w:r>
      <w:r w:rsidRPr="004A2098">
        <w:rPr>
          <w:rFonts w:ascii="Times New Roman" w:eastAsiaTheme="minorHAnsi" w:hAnsi="Times New Roman" w:cs="Times New Roman"/>
          <w:szCs w:val="22"/>
          <w:lang w:eastAsia="en-US"/>
        </w:rPr>
        <w:t>: ‘</w:t>
      </w:r>
      <w:r w:rsidRPr="004A2098">
        <w:rPr>
          <w:rFonts w:ascii="Times New Roman" w:eastAsiaTheme="minorHAnsi" w:hAnsi="Times New Roman" w:cs="Times New Roman"/>
          <w:sz w:val="23"/>
          <w:szCs w:val="23"/>
          <w:lang w:eastAsia="en-US"/>
        </w:rPr>
        <w:t xml:space="preserve">wilderness finds its complement and counterpart either in conceptions of childhood moral innocence or the child as </w:t>
      </w:r>
      <w:r w:rsidRPr="004A2098">
        <w:rPr>
          <w:rFonts w:ascii="Times New Roman" w:eastAsiaTheme="minorHAnsi" w:hAnsi="Times New Roman" w:cs="Times New Roman"/>
          <w:i/>
          <w:iCs/>
          <w:sz w:val="23"/>
          <w:szCs w:val="23"/>
          <w:lang w:eastAsia="en-US"/>
        </w:rPr>
        <w:t>tabula rasa</w:t>
      </w:r>
      <w:r w:rsidRPr="004A2098">
        <w:rPr>
          <w:rFonts w:ascii="Times New Roman" w:eastAsiaTheme="minorHAnsi" w:hAnsi="Times New Roman" w:cs="Times New Roman"/>
          <w:szCs w:val="22"/>
          <w:lang w:eastAsia="en-US"/>
        </w:rPr>
        <w:t>’.</w:t>
      </w:r>
      <w:r w:rsidRPr="004A2098">
        <w:rPr>
          <w:rFonts w:ascii="Times New Roman" w:eastAsiaTheme="minorHAnsi" w:hAnsi="Times New Roman" w:cs="Times New Roman"/>
          <w:szCs w:val="22"/>
          <w:vertAlign w:val="superscript"/>
          <w:lang w:eastAsia="en-US"/>
        </w:rPr>
        <w:footnoteReference w:id="26"/>
      </w:r>
      <w:r w:rsidRPr="004A2098">
        <w:rPr>
          <w:rFonts w:ascii="Times New Roman" w:eastAsiaTheme="minorHAnsi" w:hAnsi="Times New Roman" w:cs="Times New Roman"/>
          <w:szCs w:val="22"/>
          <w:lang w:eastAsia="en-US"/>
        </w:rPr>
        <w:t xml:space="preserve"> Most importantly for this essay however, both drew a line between the natural and human worlds, although for different purposes, and both identified children as beings who could permeate that boundary to some extent.</w:t>
      </w:r>
    </w:p>
    <w:p w14:paraId="513AE799" w14:textId="77777777" w:rsidR="004A2098" w:rsidRPr="004A2098" w:rsidRDefault="004A2098" w:rsidP="004A2098">
      <w:pPr>
        <w:spacing w:after="0" w:line="480" w:lineRule="auto"/>
        <w:ind w:firstLine="720"/>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In the contemporary context these two philosophies still carry weight in how humanity responds to the environmental consequences of the Anthropocene in regard to children. Romanticism has come to play an important role in many environmentalist movements, best exemplified by the rise of Greta Thunberg and the global youth climate strike movement that, whilst being symbolic of the agency of the child, are also caught up in ‘environmental stewardship discourses that position certain children as future saviours of nature’.</w:t>
      </w:r>
      <w:r w:rsidRPr="004A2098">
        <w:rPr>
          <w:rFonts w:ascii="Times New Roman" w:eastAsiaTheme="minorHAnsi" w:hAnsi="Times New Roman" w:cs="Times New Roman"/>
          <w:szCs w:val="22"/>
          <w:vertAlign w:val="superscript"/>
          <w:lang w:eastAsia="en-US"/>
        </w:rPr>
        <w:footnoteReference w:id="27"/>
      </w:r>
      <w:r w:rsidRPr="004A2098">
        <w:rPr>
          <w:rFonts w:ascii="Times New Roman" w:eastAsiaTheme="minorHAnsi" w:hAnsi="Times New Roman" w:cs="Times New Roman"/>
          <w:szCs w:val="22"/>
          <w:lang w:eastAsia="en-US"/>
        </w:rPr>
        <w:t xml:space="preserve"> The same can be said for the rationalist perspective prevailing in technocratic circles who see environmental issues as ‘merely a physical Earth problem, and not an ethical one’ and view the </w:t>
      </w:r>
      <w:r w:rsidRPr="004A2098">
        <w:rPr>
          <w:rFonts w:ascii="Times New Roman" w:eastAsiaTheme="minorHAnsi" w:hAnsi="Times New Roman" w:cs="Times New Roman"/>
          <w:szCs w:val="22"/>
          <w:lang w:eastAsia="en-US"/>
        </w:rPr>
        <w:lastRenderedPageBreak/>
        <w:t>young as saviours of the status quo via theorised future innovations and ‘the promise of one more generation’.</w:t>
      </w:r>
      <w:r w:rsidRPr="004A2098">
        <w:rPr>
          <w:rFonts w:ascii="Times New Roman" w:eastAsiaTheme="minorHAnsi" w:hAnsi="Times New Roman" w:cs="Times New Roman"/>
          <w:szCs w:val="22"/>
          <w:vertAlign w:val="superscript"/>
          <w:lang w:eastAsia="en-US"/>
        </w:rPr>
        <w:footnoteReference w:id="28"/>
      </w:r>
      <w:r w:rsidRPr="004A2098">
        <w:rPr>
          <w:rFonts w:ascii="Times New Roman" w:eastAsiaTheme="minorHAnsi" w:hAnsi="Times New Roman" w:cs="Times New Roman"/>
          <w:szCs w:val="22"/>
          <w:lang w:eastAsia="en-US"/>
        </w:rPr>
        <w:t xml:space="preserve"> </w:t>
      </w:r>
      <w:r w:rsidRPr="004A2098">
        <w:rPr>
          <w:rFonts w:ascii="Times New Roman" w:eastAsiaTheme="minorHAnsi" w:hAnsi="Times New Roman" w:cs="Times New Roman"/>
          <w:szCs w:val="22"/>
          <w:vertAlign w:val="superscript"/>
          <w:lang w:eastAsia="en-US"/>
        </w:rPr>
        <w:footnoteReference w:id="29"/>
      </w:r>
      <w:r w:rsidRPr="004A2098">
        <w:rPr>
          <w:rFonts w:ascii="Times New Roman" w:eastAsiaTheme="minorHAnsi" w:hAnsi="Times New Roman" w:cs="Times New Roman"/>
          <w:szCs w:val="22"/>
          <w:lang w:eastAsia="en-US"/>
        </w:rPr>
        <w:t xml:space="preserve"> These forms of romanticism and rationalism are dangerous as they detach the adult world from any responsibility or agency in addressing climate concerns.</w:t>
      </w:r>
    </w:p>
    <w:p w14:paraId="622BD985" w14:textId="5581FCC1" w:rsidR="004A2098" w:rsidRPr="004A2098" w:rsidRDefault="004A2098" w:rsidP="000C75E0">
      <w:pPr>
        <w:spacing w:after="0" w:line="480" w:lineRule="auto"/>
        <w:ind w:firstLine="720"/>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The introduction of the Anthropocene concept uproots this rationalism/romanticism</w:t>
      </w:r>
      <w:r w:rsidR="000C75E0">
        <w:rPr>
          <w:rFonts w:ascii="Times New Roman" w:eastAsiaTheme="minorHAnsi" w:hAnsi="Times New Roman" w:cs="Times New Roman"/>
          <w:szCs w:val="22"/>
          <w:lang w:eastAsia="en-US"/>
        </w:rPr>
        <w:t xml:space="preserve"> </w:t>
      </w:r>
      <w:r w:rsidRPr="004A2098">
        <w:rPr>
          <w:rFonts w:ascii="Times New Roman" w:eastAsiaTheme="minorHAnsi" w:hAnsi="Times New Roman" w:cs="Times New Roman"/>
          <w:szCs w:val="22"/>
          <w:lang w:eastAsia="en-US"/>
        </w:rPr>
        <w:t>dynamic. Far more than being</w:t>
      </w:r>
      <w:r w:rsidRPr="004A2098">
        <w:rPr>
          <w:rFonts w:ascii="Times New Roman" w:eastAsiaTheme="minorHAnsi" w:hAnsi="Times New Roman" w:cs="Times New Roman"/>
          <w:sz w:val="23"/>
          <w:szCs w:val="23"/>
          <w:lang w:eastAsia="en-US"/>
        </w:rPr>
        <w:t xml:space="preserve"> a simple obstacle for humanity to solve, the reality of the Anthropocene has implications that have ‘the potential to challenge conventional ways of seeing those constructions of nature found at the heart of Enlightenment modernity and confront its contradictory positions’.</w:t>
      </w:r>
      <w:r w:rsidRPr="004A2098">
        <w:rPr>
          <w:rFonts w:ascii="Times New Roman" w:eastAsiaTheme="minorHAnsi" w:hAnsi="Times New Roman" w:cs="Times New Roman"/>
          <w:sz w:val="23"/>
          <w:szCs w:val="23"/>
          <w:vertAlign w:val="superscript"/>
          <w:lang w:eastAsia="en-US"/>
        </w:rPr>
        <w:footnoteReference w:id="30"/>
      </w:r>
      <w:r w:rsidRPr="004A2098">
        <w:rPr>
          <w:rFonts w:ascii="Times New Roman" w:eastAsiaTheme="minorHAnsi" w:hAnsi="Times New Roman" w:cs="Times New Roman"/>
          <w:szCs w:val="22"/>
          <w:lang w:eastAsia="en-US"/>
        </w:rPr>
        <w:t xml:space="preserve"> Its very existence is proof an implicit and deep connection between humanity and the natural world that sets aside the notion that they are antitheses of one another. Indeed, it highlights how much they are the same. This realisation deromanticizes the natural and childhood worlds, unlocking them from the fairy tale, almost orientalist perspective with which they have been perceived. Free from this timelessness they can be considered more as active agents of change that have the ability to play important roles within the global network of factors that has brought about the birth of the Anthropocene. In the new “human age” where humanity has come to be seen as </w:t>
      </w:r>
      <w:r w:rsidRPr="004A2098">
        <w:rPr>
          <w:rFonts w:ascii="Times New Roman" w:eastAsiaTheme="minorHAnsi" w:hAnsi="Times New Roman" w:cs="Times New Roman"/>
          <w:i/>
          <w:iCs/>
          <w:szCs w:val="22"/>
          <w:lang w:eastAsia="en-US"/>
        </w:rPr>
        <w:t xml:space="preserve">the </w:t>
      </w:r>
      <w:r w:rsidRPr="004A2098">
        <w:rPr>
          <w:rFonts w:ascii="Times New Roman" w:eastAsiaTheme="minorHAnsi" w:hAnsi="Times New Roman" w:cs="Times New Roman"/>
          <w:szCs w:val="22"/>
          <w:lang w:eastAsia="en-US"/>
        </w:rPr>
        <w:t>integral operator in the earth’s “natural” systems, what the romanticists posed as a force opposite to that of nature has since become it. At the same time the Anthropocene undermines the empiricist perspective by showing that whilst humanity has the capability to influence the natural world, they cannot remove themselves from their relationship with it. Having made themselves more integral to the earth’s ecosystems than ever, humans are more at risk than ever when those systems change as a result of their actions. If humanity as a species was truly in</w:t>
      </w:r>
      <w:r w:rsidRPr="004A2098">
        <w:rPr>
          <w:rFonts w:ascii="Times New Roman" w:eastAsiaTheme="minorHAnsi" w:hAnsi="Times New Roman" w:cs="Times New Roman"/>
          <w:i/>
          <w:iCs/>
          <w:szCs w:val="22"/>
          <w:lang w:eastAsia="en-US"/>
        </w:rPr>
        <w:t xml:space="preserve"> </w:t>
      </w:r>
      <w:r w:rsidRPr="004A2098">
        <w:rPr>
          <w:rFonts w:ascii="Times New Roman" w:eastAsiaTheme="minorHAnsi" w:hAnsi="Times New Roman" w:cs="Times New Roman"/>
          <w:szCs w:val="22"/>
          <w:lang w:eastAsia="en-US"/>
        </w:rPr>
        <w:t>control</w:t>
      </w:r>
      <w:r w:rsidRPr="004A2098">
        <w:rPr>
          <w:rFonts w:ascii="Times New Roman" w:eastAsiaTheme="minorHAnsi" w:hAnsi="Times New Roman" w:cs="Times New Roman"/>
          <w:i/>
          <w:iCs/>
          <w:szCs w:val="22"/>
          <w:lang w:eastAsia="en-US"/>
        </w:rPr>
        <w:t xml:space="preserve"> </w:t>
      </w:r>
      <w:r w:rsidRPr="004A2098">
        <w:rPr>
          <w:rFonts w:ascii="Times New Roman" w:eastAsiaTheme="minorHAnsi" w:hAnsi="Times New Roman" w:cs="Times New Roman"/>
          <w:szCs w:val="22"/>
          <w:lang w:eastAsia="en-US"/>
        </w:rPr>
        <w:t>of the natural world, it would not have chosen to create the Anthropocene.</w:t>
      </w:r>
    </w:p>
    <w:p w14:paraId="4744A207" w14:textId="77777777" w:rsidR="004A2098" w:rsidRPr="004A2098" w:rsidRDefault="004A2098" w:rsidP="000C75E0">
      <w:pPr>
        <w:spacing w:after="0" w:line="480" w:lineRule="auto"/>
        <w:ind w:firstLine="720"/>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lastRenderedPageBreak/>
        <w:t>In other terms, if we accept the idea of Anthropocene, we must accept that the “human” identity as constructed must be one that incorporates itself into a wider view of nature and the planet as part of one earth-system. Therefore, the natural world cannot be construed as “other” through either romanticism or rationalism. This view of an ‘earth-system’ is one that is important for the history of childhood as it understands the planet as a ‘unified, complex, evolving system beyond the sum of its parts’, which is a view that presences and places importance on historical actors that have otherwise been deemed negligible.</w:t>
      </w:r>
      <w:r w:rsidRPr="004A2098">
        <w:rPr>
          <w:rFonts w:ascii="Times New Roman" w:eastAsiaTheme="minorHAnsi" w:hAnsi="Times New Roman" w:cs="Times New Roman"/>
          <w:szCs w:val="22"/>
          <w:vertAlign w:val="superscript"/>
          <w:lang w:eastAsia="en-US"/>
        </w:rPr>
        <w:footnoteReference w:id="31"/>
      </w:r>
    </w:p>
    <w:p w14:paraId="2F08B0CC" w14:textId="77777777" w:rsidR="004A2098" w:rsidRPr="004A2098" w:rsidRDefault="004A2098" w:rsidP="004A2098">
      <w:pPr>
        <w:spacing w:after="0" w:line="480" w:lineRule="auto"/>
        <w:jc w:val="both"/>
        <w:rPr>
          <w:rFonts w:ascii="Times New Roman" w:eastAsiaTheme="minorHAnsi" w:hAnsi="Times New Roman" w:cs="Times New Roman"/>
          <w:szCs w:val="22"/>
          <w:lang w:eastAsia="en-US"/>
        </w:rPr>
      </w:pPr>
    </w:p>
    <w:p w14:paraId="7B735C2B" w14:textId="77777777" w:rsidR="004A2098" w:rsidRPr="004A2098" w:rsidRDefault="004A2098" w:rsidP="004A2098">
      <w:pPr>
        <w:spacing w:after="0" w:line="480" w:lineRule="auto"/>
        <w:jc w:val="center"/>
        <w:rPr>
          <w:rFonts w:ascii="Times New Roman" w:eastAsiaTheme="minorHAnsi" w:hAnsi="Times New Roman" w:cs="Times New Roman"/>
          <w:sz w:val="28"/>
          <w:szCs w:val="24"/>
          <w:lang w:eastAsia="en-US"/>
        </w:rPr>
      </w:pPr>
      <w:r w:rsidRPr="004A2098">
        <w:rPr>
          <w:rFonts w:ascii="Times New Roman" w:eastAsiaTheme="minorHAnsi" w:hAnsi="Times New Roman" w:cs="Times New Roman"/>
          <w:sz w:val="28"/>
          <w:szCs w:val="24"/>
          <w:lang w:eastAsia="en-US"/>
        </w:rPr>
        <w:t>The Becoming World</w:t>
      </w:r>
    </w:p>
    <w:p w14:paraId="13A3EA90" w14:textId="77777777" w:rsidR="004A2098" w:rsidRPr="004A2098" w:rsidRDefault="004A2098" w:rsidP="004A2098">
      <w:pPr>
        <w:spacing w:after="0" w:line="480" w:lineRule="auto"/>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2"/>
          <w:lang w:eastAsia="en-US"/>
        </w:rPr>
        <w:t xml:space="preserve">Understanding how the Anthropocene highlights environmental and ideological faults that underly contemporary and historical perceptions of child and nature will allow historians to construct revised narratives of childhood and environment alike. This means acknowledging and exploring how children act upon their environments both personally and extensionally through the </w:t>
      </w:r>
      <w:r w:rsidRPr="004A2098">
        <w:rPr>
          <w:rFonts w:ascii="Times New Roman" w:eastAsiaTheme="minorHAnsi" w:hAnsi="Times New Roman" w:cs="Times New Roman"/>
          <w:sz w:val="23"/>
          <w:szCs w:val="23"/>
          <w:lang w:eastAsia="en-US"/>
        </w:rPr>
        <w:t xml:space="preserve">‘nature-culture hybrids’ of the </w:t>
      </w:r>
      <w:r w:rsidRPr="004A2098">
        <w:rPr>
          <w:rFonts w:ascii="Times New Roman" w:eastAsiaTheme="minorHAnsi" w:hAnsi="Times New Roman" w:cs="Times New Roman"/>
          <w:szCs w:val="22"/>
          <w:lang w:eastAsia="en-US"/>
        </w:rPr>
        <w:t>societies they inhabit.</w:t>
      </w:r>
      <w:r w:rsidRPr="004A2098">
        <w:rPr>
          <w:rFonts w:ascii="Times New Roman" w:eastAsiaTheme="minorHAnsi" w:hAnsi="Times New Roman" w:cs="Times New Roman"/>
          <w:szCs w:val="22"/>
          <w:vertAlign w:val="superscript"/>
          <w:lang w:eastAsia="en-US"/>
        </w:rPr>
        <w:footnoteReference w:id="32"/>
      </w:r>
      <w:r w:rsidRPr="004A2098">
        <w:rPr>
          <w:rFonts w:ascii="Times New Roman" w:eastAsiaTheme="minorHAnsi" w:hAnsi="Times New Roman" w:cs="Times New Roman"/>
          <w:szCs w:val="22"/>
          <w:lang w:eastAsia="en-US"/>
        </w:rPr>
        <w:t xml:space="preserve"> Interdisciplinarity will be key to unlocking such stories as the chimera of the Anthropocene requires the expertise of geographers, biologists, earth-system scientists, amongst many others, to fully interpret. At the same time, as Andreas </w:t>
      </w:r>
      <w:proofErr w:type="spellStart"/>
      <w:r w:rsidRPr="004A2098">
        <w:rPr>
          <w:rFonts w:ascii="Times New Roman" w:eastAsiaTheme="minorHAnsi" w:hAnsi="Times New Roman" w:cs="Times New Roman"/>
          <w:szCs w:val="22"/>
          <w:lang w:eastAsia="en-US"/>
        </w:rPr>
        <w:t>Malm</w:t>
      </w:r>
      <w:proofErr w:type="spellEnd"/>
      <w:r w:rsidRPr="004A2098">
        <w:rPr>
          <w:rFonts w:ascii="Times New Roman" w:eastAsiaTheme="minorHAnsi" w:hAnsi="Times New Roman" w:cs="Times New Roman"/>
          <w:szCs w:val="22"/>
          <w:lang w:eastAsia="en-US"/>
        </w:rPr>
        <w:t xml:space="preserve"> and Alf </w:t>
      </w:r>
      <w:proofErr w:type="spellStart"/>
      <w:r w:rsidRPr="004A2098">
        <w:rPr>
          <w:rFonts w:ascii="Times New Roman" w:eastAsiaTheme="minorHAnsi" w:hAnsi="Times New Roman" w:cs="Times New Roman"/>
          <w:szCs w:val="22"/>
          <w:lang w:eastAsia="en-US"/>
        </w:rPr>
        <w:t>Hornborg</w:t>
      </w:r>
      <w:proofErr w:type="spellEnd"/>
      <w:r w:rsidRPr="004A2098">
        <w:rPr>
          <w:rFonts w:ascii="Times New Roman" w:eastAsiaTheme="minorHAnsi" w:hAnsi="Times New Roman" w:cs="Times New Roman"/>
          <w:szCs w:val="22"/>
          <w:lang w:eastAsia="en-US"/>
        </w:rPr>
        <w:t xml:space="preserve"> point out in </w:t>
      </w:r>
      <w:r w:rsidRPr="004A2098">
        <w:rPr>
          <w:rFonts w:ascii="Times New Roman" w:eastAsiaTheme="minorHAnsi" w:hAnsi="Times New Roman" w:cs="Times New Roman"/>
          <w:i/>
          <w:iCs/>
          <w:szCs w:val="22"/>
          <w:lang w:eastAsia="en-US"/>
        </w:rPr>
        <w:t>The Geology of Mankind?</w:t>
      </w:r>
      <w:r w:rsidRPr="004A2098">
        <w:rPr>
          <w:rFonts w:ascii="Times New Roman" w:eastAsiaTheme="minorHAnsi" w:hAnsi="Times New Roman" w:cs="Times New Roman"/>
          <w:szCs w:val="22"/>
          <w:lang w:eastAsia="en-US"/>
        </w:rPr>
        <w:t>, such professionals are not necessarily knowledgeable in the study of human relations with the planet, ‘the  composition  of  a  rock  or  the  pattern  of  a  jet  stream  being  rather different from such phenomena as world-views, property and power’.</w:t>
      </w:r>
      <w:r w:rsidRPr="004A2098">
        <w:rPr>
          <w:rFonts w:ascii="Times New Roman" w:eastAsiaTheme="minorHAnsi" w:hAnsi="Times New Roman" w:cs="Times New Roman"/>
          <w:szCs w:val="22"/>
          <w:vertAlign w:val="superscript"/>
          <w:lang w:eastAsia="en-US"/>
        </w:rPr>
        <w:footnoteReference w:id="33"/>
      </w:r>
      <w:r w:rsidRPr="004A2098">
        <w:rPr>
          <w:rFonts w:ascii="Times New Roman" w:eastAsiaTheme="minorHAnsi" w:hAnsi="Times New Roman" w:cs="Times New Roman"/>
          <w:szCs w:val="22"/>
          <w:lang w:eastAsia="en-US"/>
        </w:rPr>
        <w:t xml:space="preserve"> Only studies that take an interdisciplinary approach will have the capability to understand what childhood means in the Anthropocene in both environmental and humanist senses.</w:t>
      </w:r>
    </w:p>
    <w:p w14:paraId="126A636B" w14:textId="77777777" w:rsidR="004A2098" w:rsidRPr="004A2098" w:rsidRDefault="004A2098" w:rsidP="004A2098">
      <w:pPr>
        <w:spacing w:after="0" w:line="480" w:lineRule="auto"/>
        <w:jc w:val="both"/>
        <w:rPr>
          <w:rFonts w:ascii="Times New Roman" w:eastAsiaTheme="minorHAnsi" w:hAnsi="Times New Roman" w:cs="Times New Roman"/>
          <w:szCs w:val="24"/>
          <w:lang w:eastAsia="en-US"/>
        </w:rPr>
      </w:pPr>
      <w:r w:rsidRPr="004A2098">
        <w:rPr>
          <w:rFonts w:ascii="Times New Roman" w:eastAsiaTheme="minorHAnsi" w:hAnsi="Times New Roman" w:cs="Times New Roman"/>
          <w:szCs w:val="22"/>
          <w:lang w:eastAsia="en-US"/>
        </w:rPr>
        <w:lastRenderedPageBreak/>
        <w:tab/>
        <w:t xml:space="preserve">Adopting methodologies of new materialism has proved one of the most popular styles of exploration in this category, much of the work so far for which has come from anthropology. Away from the conceptual, the Anthropocene Epoch reminds us perhaps first and foremost of the tactile, how much the human relationship with the planet is one based fundamentally on physicality before philosophy. Where children are concerned, their physical interactions with their environments are based on specific </w:t>
      </w:r>
      <w:r w:rsidRPr="004A2098">
        <w:rPr>
          <w:rFonts w:ascii="Times New Roman" w:eastAsiaTheme="minorHAnsi" w:hAnsi="Times New Roman" w:cs="Times New Roman"/>
          <w:i/>
          <w:iCs/>
          <w:szCs w:val="22"/>
          <w:lang w:eastAsia="en-US"/>
        </w:rPr>
        <w:t>wants</w:t>
      </w:r>
      <w:r w:rsidRPr="004A2098">
        <w:rPr>
          <w:rFonts w:ascii="Times New Roman" w:eastAsiaTheme="minorHAnsi" w:hAnsi="Times New Roman" w:cs="Times New Roman"/>
          <w:szCs w:val="22"/>
          <w:lang w:eastAsia="en-US"/>
        </w:rPr>
        <w:t xml:space="preserve"> that substantially differ to those of their elders, most evidently the wants of play and exploration. Children are therefore inhabitants and engineers of unique environments and relate to “adult” spaces in unconventional ways; </w:t>
      </w:r>
      <w:r w:rsidRPr="004A2098">
        <w:rPr>
          <w:rFonts w:ascii="Times New Roman" w:eastAsiaTheme="minorHAnsi" w:hAnsi="Times New Roman" w:cs="Times New Roman"/>
          <w:szCs w:val="24"/>
          <w:lang w:eastAsia="en-US"/>
        </w:rPr>
        <w:t xml:space="preserve">they ‘interactively embody their surroundings through play’ as Kirsti Pederson </w:t>
      </w:r>
      <w:proofErr w:type="spellStart"/>
      <w:r w:rsidRPr="004A2098">
        <w:rPr>
          <w:rFonts w:ascii="Times New Roman" w:eastAsiaTheme="minorHAnsi" w:hAnsi="Times New Roman" w:cs="Times New Roman"/>
          <w:szCs w:val="24"/>
          <w:lang w:eastAsia="en-US"/>
        </w:rPr>
        <w:t>Gurholt</w:t>
      </w:r>
      <w:proofErr w:type="spellEnd"/>
      <w:r w:rsidRPr="004A2098">
        <w:rPr>
          <w:rFonts w:ascii="Times New Roman" w:eastAsiaTheme="minorHAnsi" w:hAnsi="Times New Roman" w:cs="Times New Roman"/>
          <w:szCs w:val="24"/>
          <w:lang w:eastAsia="en-US"/>
        </w:rPr>
        <w:t xml:space="preserve"> describes in </w:t>
      </w:r>
      <w:r w:rsidRPr="004A2098">
        <w:rPr>
          <w:rFonts w:ascii="Times New Roman" w:eastAsiaTheme="minorHAnsi" w:hAnsi="Times New Roman" w:cs="Times New Roman"/>
          <w:i/>
          <w:iCs/>
          <w:szCs w:val="24"/>
          <w:lang w:eastAsia="en-US"/>
        </w:rPr>
        <w:t>Curious Play</w:t>
      </w:r>
      <w:r w:rsidRPr="004A2098">
        <w:rPr>
          <w:rFonts w:ascii="Times New Roman" w:eastAsiaTheme="minorHAnsi" w:hAnsi="Times New Roman" w:cs="Times New Roman"/>
          <w:szCs w:val="24"/>
          <w:lang w:eastAsia="en-US"/>
        </w:rPr>
        <w:t>.</w:t>
      </w:r>
      <w:r w:rsidRPr="004A2098">
        <w:rPr>
          <w:rFonts w:ascii="Times New Roman" w:eastAsiaTheme="minorHAnsi" w:hAnsi="Times New Roman" w:cs="Times New Roman"/>
          <w:szCs w:val="24"/>
          <w:vertAlign w:val="superscript"/>
          <w:lang w:eastAsia="en-US"/>
        </w:rPr>
        <w:footnoteReference w:id="34"/>
      </w:r>
      <w:r w:rsidRPr="004A2098">
        <w:rPr>
          <w:rFonts w:ascii="Times New Roman" w:eastAsiaTheme="minorHAnsi" w:hAnsi="Times New Roman" w:cs="Times New Roman"/>
          <w:szCs w:val="24"/>
          <w:lang w:eastAsia="en-US"/>
        </w:rPr>
        <w:t xml:space="preserve"> This includes particular interest, born of novelty and of these divergent wants, in aspects of the natural world that adults show less toward. An attraction to death and dead animals is one common current that runs through materialist analyses of childhood, from Pamela </w:t>
      </w:r>
      <w:proofErr w:type="spellStart"/>
      <w:r w:rsidRPr="004A2098">
        <w:rPr>
          <w:rFonts w:ascii="Times New Roman" w:eastAsiaTheme="minorHAnsi" w:hAnsi="Times New Roman" w:cs="Times New Roman"/>
          <w:szCs w:val="24"/>
          <w:lang w:eastAsia="en-US"/>
        </w:rPr>
        <w:t>Riney-Kehrberg’s</w:t>
      </w:r>
      <w:proofErr w:type="spellEnd"/>
      <w:r w:rsidRPr="004A2098">
        <w:rPr>
          <w:rFonts w:ascii="Times New Roman" w:eastAsiaTheme="minorHAnsi" w:hAnsi="Times New Roman" w:cs="Times New Roman"/>
          <w:szCs w:val="24"/>
          <w:lang w:eastAsia="en-US"/>
        </w:rPr>
        <w:t xml:space="preserve"> description of the bouncy-castle horse carcasses of New York’s city streets to Eduardo Kohn’s accounts of the spoils brought home from the hunts of the Quechua people that offered little interest to the adults but garnered much from the children.</w:t>
      </w:r>
      <w:r w:rsidRPr="004A2098">
        <w:rPr>
          <w:rFonts w:ascii="Times New Roman" w:eastAsiaTheme="minorHAnsi" w:hAnsi="Times New Roman" w:cs="Times New Roman"/>
          <w:szCs w:val="24"/>
          <w:vertAlign w:val="superscript"/>
          <w:lang w:eastAsia="en-US"/>
        </w:rPr>
        <w:footnoteReference w:id="35"/>
      </w:r>
      <w:r w:rsidRPr="004A2098">
        <w:rPr>
          <w:rFonts w:ascii="Times New Roman" w:eastAsiaTheme="minorHAnsi" w:hAnsi="Times New Roman" w:cs="Times New Roman"/>
          <w:szCs w:val="24"/>
          <w:lang w:eastAsia="en-US"/>
        </w:rPr>
        <w:t xml:space="preserve"> </w:t>
      </w:r>
      <w:r w:rsidRPr="004A2098">
        <w:rPr>
          <w:rFonts w:ascii="Times New Roman" w:eastAsiaTheme="minorHAnsi" w:hAnsi="Times New Roman" w:cs="Times New Roman"/>
          <w:szCs w:val="24"/>
          <w:vertAlign w:val="superscript"/>
          <w:lang w:eastAsia="en-US"/>
        </w:rPr>
        <w:footnoteReference w:id="36"/>
      </w:r>
      <w:r w:rsidRPr="004A2098">
        <w:rPr>
          <w:rFonts w:ascii="Times New Roman" w:eastAsiaTheme="minorHAnsi" w:hAnsi="Times New Roman" w:cs="Times New Roman"/>
          <w:szCs w:val="24"/>
          <w:lang w:eastAsia="en-US"/>
        </w:rPr>
        <w:t xml:space="preserve"> The presentation of unidealized accounts that genuinely examine children’s relationships with the material world, rather than those that others have conceived for them, works to undermine misleading enlightenment conceptions of childhood that would have them repulsed and disconnected from the “unnatural”. In the Anthropocene, where the objects and materials humans accumulate and throw away have come to be powerful agents of environmental transformation, we are required to challenge  ‘</w:t>
      </w:r>
      <w:r w:rsidRPr="004A2098">
        <w:rPr>
          <w:rFonts w:ascii="Times New Roman" w:eastAsiaTheme="minorHAnsi" w:hAnsi="Times New Roman" w:cs="Times New Roman"/>
          <w:szCs w:val="22"/>
          <w:lang w:eastAsia="en-US"/>
        </w:rPr>
        <w:t xml:space="preserve">deeply rooted cultural oppositions such as </w:t>
      </w:r>
      <w:r w:rsidRPr="004A2098">
        <w:rPr>
          <w:rFonts w:ascii="Times New Roman" w:eastAsiaTheme="minorHAnsi" w:hAnsi="Times New Roman" w:cs="Times New Roman"/>
          <w:szCs w:val="22"/>
          <w:lang w:eastAsia="en-US"/>
        </w:rPr>
        <w:lastRenderedPageBreak/>
        <w:t xml:space="preserve">animate versus inanimate and active versus passive’ that ignore the materiality </w:t>
      </w:r>
      <w:r w:rsidRPr="004A2098">
        <w:rPr>
          <w:rFonts w:ascii="Times New Roman" w:eastAsiaTheme="minorHAnsi" w:hAnsi="Times New Roman" w:cs="Times New Roman"/>
          <w:szCs w:val="24"/>
          <w:lang w:eastAsia="en-US"/>
        </w:rPr>
        <w:t>of the planet and of children’s lives.</w:t>
      </w:r>
      <w:r w:rsidRPr="004A2098">
        <w:rPr>
          <w:rFonts w:ascii="Times New Roman" w:eastAsiaTheme="minorHAnsi" w:hAnsi="Times New Roman" w:cs="Times New Roman"/>
          <w:szCs w:val="24"/>
          <w:vertAlign w:val="superscript"/>
          <w:lang w:eastAsia="en-US"/>
        </w:rPr>
        <w:footnoteReference w:id="37"/>
      </w:r>
    </w:p>
    <w:p w14:paraId="1674AFD4" w14:textId="77777777" w:rsidR="004A2098" w:rsidRPr="004A2098" w:rsidRDefault="004A2098" w:rsidP="00025F79">
      <w:pPr>
        <w:spacing w:after="0" w:line="480" w:lineRule="auto"/>
        <w:ind w:firstLine="720"/>
        <w:jc w:val="both"/>
        <w:rPr>
          <w:rFonts w:ascii="Times New Roman" w:eastAsiaTheme="minorHAnsi" w:hAnsi="Times New Roman" w:cs="Times New Roman"/>
          <w:szCs w:val="24"/>
          <w:lang w:eastAsia="en-US"/>
        </w:rPr>
      </w:pPr>
      <w:r w:rsidRPr="004A2098">
        <w:rPr>
          <w:rFonts w:ascii="Times New Roman" w:eastAsiaTheme="minorHAnsi" w:hAnsi="Times New Roman" w:cs="Times New Roman"/>
          <w:szCs w:val="24"/>
          <w:lang w:eastAsia="en-US"/>
        </w:rPr>
        <w:t>Beyond objects and materials, the landscapes of childhood are equally important to recognise as ‘inherently pedagogical contact zone[s]’, meaning a recognition that all environments are environments of learning.</w:t>
      </w:r>
      <w:r w:rsidRPr="004A2098">
        <w:rPr>
          <w:rFonts w:ascii="Times New Roman" w:eastAsiaTheme="minorHAnsi" w:hAnsi="Times New Roman" w:cs="Times New Roman"/>
          <w:szCs w:val="24"/>
          <w:vertAlign w:val="superscript"/>
          <w:lang w:eastAsia="en-US"/>
        </w:rPr>
        <w:footnoteReference w:id="38"/>
      </w:r>
      <w:r w:rsidRPr="004A2098">
        <w:rPr>
          <w:rFonts w:ascii="Times New Roman" w:eastAsiaTheme="minorHAnsi" w:hAnsi="Times New Roman" w:cs="Times New Roman"/>
          <w:szCs w:val="24"/>
          <w:lang w:eastAsia="en-US"/>
        </w:rPr>
        <w:t xml:space="preserve"> Young people are often drawn to the abandoned and the secretive over the idyllic, spaces such as a den or old factory where you can “make your own fun” proving to be more intriguing propositions than deliberately constructed environments such as playgrounds or youth centres.</w:t>
      </w:r>
      <w:r w:rsidRPr="004A2098">
        <w:rPr>
          <w:rFonts w:ascii="Times New Roman" w:eastAsiaTheme="minorHAnsi" w:hAnsi="Times New Roman" w:cs="Times New Roman"/>
          <w:szCs w:val="24"/>
          <w:vertAlign w:val="superscript"/>
          <w:lang w:eastAsia="en-US"/>
        </w:rPr>
        <w:footnoteReference w:id="39"/>
      </w:r>
      <w:r w:rsidRPr="004A2098">
        <w:rPr>
          <w:rFonts w:ascii="Times New Roman" w:eastAsiaTheme="minorHAnsi" w:hAnsi="Times New Roman" w:cs="Times New Roman"/>
          <w:szCs w:val="24"/>
          <w:lang w:eastAsia="en-US"/>
        </w:rPr>
        <w:t xml:space="preserve"> These spaces that children choose to inhabit, which generally fall outside of the “adult world”, allow them greater freedom and a more authentic pedagogical relationship; such relationships that will go on to be instrumental in their adult attitudes towards particular environs.</w:t>
      </w:r>
      <w:r w:rsidRPr="004A2098">
        <w:rPr>
          <w:rFonts w:ascii="Times New Roman" w:eastAsiaTheme="minorHAnsi" w:hAnsi="Times New Roman" w:cs="Times New Roman"/>
          <w:szCs w:val="24"/>
          <w:vertAlign w:val="superscript"/>
          <w:lang w:eastAsia="en-US"/>
        </w:rPr>
        <w:footnoteReference w:id="40"/>
      </w:r>
      <w:r w:rsidRPr="004A2098">
        <w:rPr>
          <w:rFonts w:ascii="Times New Roman" w:eastAsiaTheme="minorHAnsi" w:hAnsi="Times New Roman" w:cs="Times New Roman"/>
          <w:szCs w:val="24"/>
          <w:lang w:eastAsia="en-US"/>
        </w:rPr>
        <w:t xml:space="preserve"> As </w:t>
      </w:r>
      <w:r w:rsidRPr="004A2098">
        <w:rPr>
          <w:rFonts w:ascii="Times New Roman" w:eastAsiaTheme="minorHAnsi" w:hAnsi="Times New Roman" w:cs="Times New Roman"/>
          <w:szCs w:val="22"/>
          <w:lang w:eastAsia="en-US"/>
        </w:rPr>
        <w:t>Gibson and Graham write in</w:t>
      </w:r>
      <w:r w:rsidRPr="004A2098">
        <w:rPr>
          <w:rFonts w:ascii="Times New Roman" w:eastAsiaTheme="minorHAnsi" w:hAnsi="Times New Roman" w:cs="Times New Roman"/>
          <w:i/>
          <w:iCs/>
          <w:szCs w:val="22"/>
          <w:lang w:eastAsia="en-US"/>
        </w:rPr>
        <w:t xml:space="preserve"> A Feminist Project for Belonging in the Anthropocene</w:t>
      </w:r>
      <w:r w:rsidRPr="004A2098">
        <w:rPr>
          <w:rFonts w:ascii="Times New Roman" w:eastAsiaTheme="minorHAnsi" w:hAnsi="Times New Roman" w:cs="Times New Roman"/>
          <w:szCs w:val="22"/>
          <w:lang w:eastAsia="en-US"/>
        </w:rPr>
        <w:t>:</w:t>
      </w:r>
      <w:r w:rsidRPr="004A2098">
        <w:rPr>
          <w:rFonts w:ascii="Times New Roman" w:eastAsiaTheme="minorHAnsi" w:hAnsi="Times New Roman" w:cs="Times New Roman"/>
          <w:i/>
          <w:iCs/>
          <w:szCs w:val="22"/>
          <w:lang w:eastAsia="en-US"/>
        </w:rPr>
        <w:t xml:space="preserve"> </w:t>
      </w:r>
      <w:r w:rsidRPr="004A2098">
        <w:rPr>
          <w:rFonts w:ascii="Times New Roman" w:eastAsiaTheme="minorHAnsi" w:hAnsi="Times New Roman" w:cs="Times New Roman"/>
          <w:szCs w:val="22"/>
          <w:lang w:eastAsia="en-US"/>
        </w:rPr>
        <w:t>‘The Anthropocene calls to us to recognize that we are all participants in the ‘becoming world’, where everything is interconnected and learning happens in a stumbling, trial and error sort of way’.</w:t>
      </w:r>
      <w:r w:rsidRPr="004A2098">
        <w:rPr>
          <w:rFonts w:ascii="Times New Roman" w:eastAsiaTheme="minorHAnsi" w:hAnsi="Times New Roman" w:cs="Times New Roman"/>
          <w:szCs w:val="22"/>
          <w:vertAlign w:val="superscript"/>
          <w:lang w:eastAsia="en-US"/>
        </w:rPr>
        <w:footnoteReference w:id="41"/>
      </w:r>
      <w:r w:rsidRPr="004A2098">
        <w:rPr>
          <w:rFonts w:ascii="Times New Roman" w:eastAsiaTheme="minorHAnsi" w:hAnsi="Times New Roman" w:cs="Times New Roman"/>
          <w:szCs w:val="22"/>
          <w:lang w:eastAsia="en-US"/>
        </w:rPr>
        <w:t xml:space="preserve"> </w:t>
      </w:r>
      <w:r w:rsidRPr="004A2098">
        <w:rPr>
          <w:rFonts w:ascii="Times New Roman" w:eastAsiaTheme="minorHAnsi" w:hAnsi="Times New Roman" w:cs="Times New Roman"/>
          <w:szCs w:val="24"/>
          <w:lang w:eastAsia="en-US"/>
        </w:rPr>
        <w:t xml:space="preserve">The “human age” asks us not only to consider what the environments of childhood can teach us about environment and childhood, but also what they can teach to each other. Indeed, it asks us to reframe and presence spaces of childhood in the historiography that have been deemed before as “abandoned” or ahistorical.  </w:t>
      </w:r>
    </w:p>
    <w:p w14:paraId="158A1516" w14:textId="77777777" w:rsidR="004A2098" w:rsidRPr="004A2098" w:rsidRDefault="004A2098" w:rsidP="0021363B">
      <w:pPr>
        <w:spacing w:after="0" w:line="480" w:lineRule="auto"/>
        <w:ind w:firstLine="720"/>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4"/>
          <w:lang w:eastAsia="en-US"/>
        </w:rPr>
        <w:t>If we</w:t>
      </w:r>
      <w:r w:rsidRPr="004A2098">
        <w:rPr>
          <w:rFonts w:ascii="Times New Roman" w:eastAsiaTheme="minorHAnsi" w:hAnsi="Times New Roman" w:cs="Times New Roman"/>
          <w:szCs w:val="22"/>
          <w:lang w:eastAsia="en-US"/>
        </w:rPr>
        <w:t xml:space="preserve"> embrace the spatiality of children’s environments we gain appreciation of children (and the natural world) as ‘social actors who are enmeshed in richly diverse social worlds’ </w:t>
      </w:r>
      <w:r w:rsidRPr="004A2098">
        <w:rPr>
          <w:rFonts w:ascii="Times New Roman" w:eastAsiaTheme="minorHAnsi" w:hAnsi="Times New Roman" w:cs="Times New Roman"/>
          <w:szCs w:val="22"/>
          <w:lang w:eastAsia="en-US"/>
        </w:rPr>
        <w:lastRenderedPageBreak/>
        <w:t>rather than ‘separated out, disconnected individuals understood solely through developmental needs and discourses of rights’.</w:t>
      </w:r>
      <w:r w:rsidRPr="004A2098">
        <w:rPr>
          <w:rFonts w:ascii="Times New Roman" w:eastAsiaTheme="minorHAnsi" w:hAnsi="Times New Roman" w:cs="Times New Roman"/>
          <w:szCs w:val="22"/>
          <w:vertAlign w:val="superscript"/>
          <w:lang w:eastAsia="en-US"/>
        </w:rPr>
        <w:footnoteReference w:id="42"/>
      </w:r>
      <w:r w:rsidRPr="004A2098">
        <w:rPr>
          <w:rFonts w:ascii="Times New Roman" w:eastAsiaTheme="minorHAnsi" w:hAnsi="Times New Roman" w:cs="Times New Roman"/>
          <w:szCs w:val="24"/>
          <w:lang w:eastAsia="en-US"/>
        </w:rPr>
        <w:t xml:space="preserve"> As a global phenomenon the Anthropocene touches all human lives to greater and lesser extents and does not do so proportionately toward those groups of people who have most influence over it, thus drawing distinction between “children’s environments” and “adult environments” as separate entities is unhelpful. If the Anthropocene does not confine itself to the adult domain and we cannot confine our studies so either. It pushes us to consider the construction of our built and landscaped environments more carefully, with greater sensitivity </w:t>
      </w:r>
      <w:r w:rsidRPr="004A2098">
        <w:rPr>
          <w:rFonts w:ascii="Times New Roman" w:eastAsiaTheme="minorHAnsi" w:hAnsi="Times New Roman" w:cs="Times New Roman"/>
          <w:szCs w:val="22"/>
          <w:lang w:eastAsia="en-US"/>
        </w:rPr>
        <w:t xml:space="preserve">to how children will know, sense, touch, and exist in them. As Karen Malone concludes in </w:t>
      </w:r>
      <w:r w:rsidRPr="004A2098">
        <w:rPr>
          <w:rFonts w:ascii="Times New Roman" w:eastAsiaTheme="minorHAnsi" w:hAnsi="Times New Roman" w:cs="Times New Roman"/>
          <w:i/>
          <w:iCs/>
          <w:szCs w:val="22"/>
          <w:lang w:eastAsia="en-US"/>
        </w:rPr>
        <w:t>Children in the Anthropocene</w:t>
      </w:r>
      <w:r w:rsidRPr="004A2098">
        <w:rPr>
          <w:rFonts w:ascii="Times New Roman" w:eastAsiaTheme="minorHAnsi" w:hAnsi="Times New Roman" w:cs="Times New Roman"/>
          <w:szCs w:val="22"/>
          <w:lang w:eastAsia="en-US"/>
        </w:rPr>
        <w:t>, only with an appreciation of spatiality can we ‘acknowledge how it is to be child with a host of others and the potential</w:t>
      </w:r>
      <w:r w:rsidRPr="004A2098">
        <w:rPr>
          <w:rFonts w:ascii="Times New Roman" w:eastAsiaTheme="minorHAnsi" w:hAnsi="Times New Roman" w:cs="Times New Roman"/>
          <w:szCs w:val="24"/>
          <w:lang w:eastAsia="en-US"/>
        </w:rPr>
        <w:t xml:space="preserve"> </w:t>
      </w:r>
      <w:r w:rsidRPr="004A2098">
        <w:rPr>
          <w:rFonts w:ascii="Times New Roman" w:eastAsiaTheme="minorHAnsi" w:hAnsi="Times New Roman" w:cs="Times New Roman"/>
          <w:szCs w:val="22"/>
          <w:lang w:eastAsia="en-US"/>
        </w:rPr>
        <w:t>differences… their ‘acting’ as an ecological collective</w:t>
      </w:r>
      <w:r w:rsidRPr="004A2098">
        <w:rPr>
          <w:rFonts w:ascii="Times New Roman" w:eastAsiaTheme="minorHAnsi" w:hAnsi="Times New Roman" w:cs="Times New Roman"/>
          <w:szCs w:val="24"/>
          <w:lang w:eastAsia="en-US"/>
        </w:rPr>
        <w:t xml:space="preserve"> </w:t>
      </w:r>
      <w:r w:rsidRPr="004A2098">
        <w:rPr>
          <w:rFonts w:ascii="Times New Roman" w:eastAsiaTheme="minorHAnsi" w:hAnsi="Times New Roman" w:cs="Times New Roman"/>
          <w:szCs w:val="22"/>
          <w:lang w:eastAsia="en-US"/>
        </w:rPr>
        <w:t>can have on the ecosystems of the planet’.</w:t>
      </w:r>
      <w:r w:rsidRPr="004A2098">
        <w:rPr>
          <w:rFonts w:ascii="Times New Roman" w:eastAsiaTheme="minorHAnsi" w:hAnsi="Times New Roman" w:cs="Times New Roman"/>
          <w:szCs w:val="22"/>
          <w:vertAlign w:val="superscript"/>
          <w:lang w:eastAsia="en-US"/>
        </w:rPr>
        <w:footnoteReference w:id="43"/>
      </w:r>
      <w:r w:rsidRPr="004A2098">
        <w:rPr>
          <w:rFonts w:ascii="Times New Roman" w:eastAsiaTheme="minorHAnsi" w:hAnsi="Times New Roman" w:cs="Times New Roman"/>
          <w:szCs w:val="22"/>
          <w:lang w:eastAsia="en-US"/>
        </w:rPr>
        <w:t xml:space="preserve"> </w:t>
      </w:r>
    </w:p>
    <w:p w14:paraId="6D57A1E4" w14:textId="77777777" w:rsidR="004A2098" w:rsidRPr="004A2098" w:rsidRDefault="004A2098" w:rsidP="00974FB0">
      <w:pPr>
        <w:spacing w:after="0" w:line="480" w:lineRule="auto"/>
        <w:ind w:firstLine="720"/>
        <w:jc w:val="both"/>
        <w:rPr>
          <w:rFonts w:ascii="Times New Roman" w:eastAsiaTheme="minorHAnsi" w:hAnsi="Times New Roman" w:cs="Times New Roman"/>
          <w:szCs w:val="24"/>
          <w:lang w:eastAsia="en-US"/>
        </w:rPr>
      </w:pPr>
      <w:r w:rsidRPr="004A2098">
        <w:rPr>
          <w:rFonts w:ascii="Times New Roman" w:eastAsiaTheme="minorHAnsi" w:hAnsi="Times New Roman" w:cs="Times New Roman"/>
          <w:szCs w:val="22"/>
          <w:lang w:eastAsia="en-US"/>
        </w:rPr>
        <w:t xml:space="preserve">However, the relationship between environment and child as an element of wider earth-systems extends beyond the material. All historical agents act extensionally upon their environments through how other agents act toward and around them, and this holds especially true for agents such as children and the natural world that are perceived in wider society to lack agency for themselves. Holding to enlightenment form, whether construed as ‘wayward, chaotic and disordered’ or ‘pure, innocent, and in need of protection’, there is a sense of need or even duty to act </w:t>
      </w:r>
      <w:r w:rsidRPr="004A2098">
        <w:rPr>
          <w:rFonts w:ascii="Times New Roman" w:eastAsiaTheme="minorHAnsi" w:hAnsi="Times New Roman" w:cs="Times New Roman"/>
          <w:i/>
          <w:iCs/>
          <w:szCs w:val="22"/>
          <w:lang w:eastAsia="en-US"/>
        </w:rPr>
        <w:t>for</w:t>
      </w:r>
      <w:r w:rsidRPr="004A2098">
        <w:rPr>
          <w:rFonts w:ascii="Times New Roman" w:eastAsiaTheme="minorHAnsi" w:hAnsi="Times New Roman" w:cs="Times New Roman"/>
          <w:szCs w:val="22"/>
          <w:lang w:eastAsia="en-US"/>
        </w:rPr>
        <w:t xml:space="preserve"> them rather than </w:t>
      </w:r>
      <w:r w:rsidRPr="004A2098">
        <w:rPr>
          <w:rFonts w:ascii="Times New Roman" w:eastAsiaTheme="minorHAnsi" w:hAnsi="Times New Roman" w:cs="Times New Roman"/>
          <w:i/>
          <w:iCs/>
          <w:szCs w:val="22"/>
          <w:lang w:eastAsia="en-US"/>
        </w:rPr>
        <w:t xml:space="preserve">with </w:t>
      </w:r>
      <w:r w:rsidRPr="004A2098">
        <w:rPr>
          <w:rFonts w:ascii="Times New Roman" w:eastAsiaTheme="minorHAnsi" w:hAnsi="Times New Roman" w:cs="Times New Roman"/>
          <w:szCs w:val="22"/>
          <w:lang w:eastAsia="en-US"/>
        </w:rPr>
        <w:t>them.</w:t>
      </w:r>
      <w:r w:rsidRPr="004A2098">
        <w:rPr>
          <w:rFonts w:ascii="Times New Roman" w:eastAsiaTheme="minorHAnsi" w:hAnsi="Times New Roman" w:cs="Times New Roman"/>
          <w:szCs w:val="22"/>
          <w:vertAlign w:val="superscript"/>
          <w:lang w:eastAsia="en-US"/>
        </w:rPr>
        <w:footnoteReference w:id="44"/>
      </w:r>
      <w:r w:rsidRPr="004A2098">
        <w:rPr>
          <w:rFonts w:ascii="Times New Roman" w:eastAsiaTheme="minorHAnsi" w:hAnsi="Times New Roman" w:cs="Times New Roman"/>
          <w:szCs w:val="22"/>
          <w:lang w:eastAsia="en-US"/>
        </w:rPr>
        <w:t xml:space="preserve"> In the Anthropocene, the concept of what childhood means and has meant is changing.  Childhood is seen as being under threat in a way that other human life-stages cannot be, the perceived symbiosis between child and nature being so strong that the threat of Anthropogenic climate change to the natural world is </w:t>
      </w:r>
      <w:r w:rsidRPr="004A2098">
        <w:rPr>
          <w:rFonts w:ascii="Times New Roman" w:eastAsiaTheme="minorHAnsi" w:hAnsi="Times New Roman" w:cs="Times New Roman"/>
          <w:i/>
          <w:iCs/>
          <w:szCs w:val="22"/>
          <w:lang w:eastAsia="en-US"/>
        </w:rPr>
        <w:t xml:space="preserve">naturally </w:t>
      </w:r>
      <w:r w:rsidRPr="004A2098">
        <w:rPr>
          <w:rFonts w:ascii="Times New Roman" w:eastAsiaTheme="minorHAnsi" w:hAnsi="Times New Roman" w:cs="Times New Roman"/>
          <w:szCs w:val="22"/>
          <w:lang w:eastAsia="en-US"/>
        </w:rPr>
        <w:t>a threat to childhood also through cultural severance. At the same time children are cast as the saviours of the planet and symbols of environment(</w:t>
      </w:r>
      <w:proofErr w:type="spellStart"/>
      <w:r w:rsidRPr="004A2098">
        <w:rPr>
          <w:rFonts w:ascii="Times New Roman" w:eastAsiaTheme="minorHAnsi" w:hAnsi="Times New Roman" w:cs="Times New Roman"/>
          <w:szCs w:val="22"/>
          <w:lang w:eastAsia="en-US"/>
        </w:rPr>
        <w:t>alism</w:t>
      </w:r>
      <w:proofErr w:type="spellEnd"/>
      <w:r w:rsidRPr="004A2098">
        <w:rPr>
          <w:rFonts w:ascii="Times New Roman" w:eastAsiaTheme="minorHAnsi" w:hAnsi="Times New Roman" w:cs="Times New Roman"/>
          <w:szCs w:val="22"/>
          <w:lang w:eastAsia="en-US"/>
        </w:rPr>
        <w:t xml:space="preserve">) in a process that Peter Hopkins and </w:t>
      </w:r>
      <w:r w:rsidRPr="004A2098">
        <w:rPr>
          <w:rFonts w:ascii="Times New Roman" w:eastAsiaTheme="minorHAnsi" w:hAnsi="Times New Roman" w:cs="Times New Roman"/>
          <w:szCs w:val="22"/>
          <w:lang w:eastAsia="en-US"/>
        </w:rPr>
        <w:lastRenderedPageBreak/>
        <w:t>Rachel Pain call ‘fetishising the margins’.</w:t>
      </w:r>
      <w:r w:rsidRPr="004A2098">
        <w:rPr>
          <w:rFonts w:ascii="Times New Roman" w:eastAsiaTheme="minorHAnsi" w:hAnsi="Times New Roman" w:cs="Times New Roman"/>
          <w:szCs w:val="22"/>
          <w:vertAlign w:val="superscript"/>
          <w:lang w:eastAsia="en-US"/>
        </w:rPr>
        <w:footnoteReference w:id="45"/>
      </w:r>
      <w:r w:rsidRPr="004A2098">
        <w:rPr>
          <w:rFonts w:ascii="Times New Roman" w:eastAsiaTheme="minorHAnsi" w:hAnsi="Times New Roman" w:cs="Times New Roman"/>
          <w:szCs w:val="22"/>
          <w:lang w:eastAsia="en-US"/>
        </w:rPr>
        <w:t xml:space="preserve"> </w:t>
      </w:r>
      <w:r w:rsidRPr="004A2098">
        <w:rPr>
          <w:rFonts w:ascii="Times New Roman" w:eastAsiaTheme="minorHAnsi" w:hAnsi="Times New Roman" w:cs="Times New Roman"/>
          <w:szCs w:val="24"/>
          <w:lang w:eastAsia="en-US"/>
        </w:rPr>
        <w:t>The natural world is simultaneously vulnerable and dangerous, especially for children who are ‘</w:t>
      </w:r>
      <w:r w:rsidRPr="004A2098">
        <w:rPr>
          <w:rFonts w:ascii="Times New Roman" w:eastAsiaTheme="minorHAnsi" w:hAnsi="Times New Roman" w:cs="Times New Roman"/>
          <w:szCs w:val="22"/>
          <w:lang w:eastAsia="en-US"/>
        </w:rPr>
        <w:t>inherently more sensitive’ to its hazards in both physical and psychological contexts</w:t>
      </w:r>
      <w:r w:rsidRPr="004A2098">
        <w:rPr>
          <w:rFonts w:ascii="Times New Roman" w:eastAsiaTheme="minorHAnsi" w:hAnsi="Times New Roman" w:cs="Times New Roman"/>
          <w:szCs w:val="24"/>
          <w:lang w:eastAsia="en-US"/>
        </w:rPr>
        <w:t>.</w:t>
      </w:r>
      <w:r w:rsidRPr="004A2098">
        <w:rPr>
          <w:rFonts w:ascii="Times New Roman" w:eastAsiaTheme="minorHAnsi" w:hAnsi="Times New Roman" w:cs="Times New Roman"/>
          <w:szCs w:val="24"/>
          <w:vertAlign w:val="superscript"/>
          <w:lang w:eastAsia="en-US"/>
        </w:rPr>
        <w:footnoteReference w:id="46"/>
      </w:r>
      <w:r w:rsidRPr="004A2098">
        <w:rPr>
          <w:rFonts w:ascii="Times New Roman" w:eastAsiaTheme="minorHAnsi" w:hAnsi="Times New Roman" w:cs="Times New Roman"/>
          <w:szCs w:val="24"/>
          <w:lang w:eastAsia="en-US"/>
        </w:rPr>
        <w:t xml:space="preserve"> The Anthropocene invites us to consider multiplicities within childhood and environment that previously were singularities. As Alan </w:t>
      </w:r>
      <w:proofErr w:type="spellStart"/>
      <w:r w:rsidRPr="004A2098">
        <w:rPr>
          <w:rFonts w:ascii="Times New Roman" w:eastAsiaTheme="minorHAnsi" w:hAnsi="Times New Roman" w:cs="Times New Roman"/>
          <w:szCs w:val="24"/>
          <w:lang w:eastAsia="en-US"/>
        </w:rPr>
        <w:t>Prout</w:t>
      </w:r>
      <w:proofErr w:type="spellEnd"/>
      <w:r w:rsidRPr="004A2098">
        <w:rPr>
          <w:rFonts w:ascii="Times New Roman" w:eastAsiaTheme="minorHAnsi" w:hAnsi="Times New Roman" w:cs="Times New Roman"/>
          <w:szCs w:val="24"/>
          <w:lang w:eastAsia="en-US"/>
        </w:rPr>
        <w:t xml:space="preserve"> writes:</w:t>
      </w:r>
    </w:p>
    <w:p w14:paraId="55EA8ACF" w14:textId="77777777" w:rsidR="004A2098" w:rsidRPr="004A2098" w:rsidRDefault="004A2098" w:rsidP="004A2098">
      <w:pPr>
        <w:spacing w:after="0" w:line="480" w:lineRule="auto"/>
        <w:jc w:val="both"/>
        <w:rPr>
          <w:rFonts w:ascii="Times New Roman" w:eastAsiaTheme="minorHAnsi" w:hAnsi="Times New Roman" w:cs="Times New Roman"/>
          <w:szCs w:val="24"/>
          <w:lang w:eastAsia="en-US"/>
        </w:rPr>
      </w:pPr>
    </w:p>
    <w:p w14:paraId="21DBFF18" w14:textId="77777777" w:rsidR="004A2098" w:rsidRPr="004A2098" w:rsidRDefault="004A2098" w:rsidP="004A2098">
      <w:pPr>
        <w:spacing w:after="0" w:line="480" w:lineRule="auto"/>
        <w:jc w:val="both"/>
        <w:rPr>
          <w:rFonts w:ascii="Times New Roman" w:eastAsiaTheme="minorHAnsi" w:hAnsi="Times New Roman" w:cs="Times New Roman"/>
          <w:sz w:val="23"/>
          <w:szCs w:val="23"/>
          <w:lang w:eastAsia="en-US"/>
        </w:rPr>
      </w:pPr>
      <w:r w:rsidRPr="004A2098">
        <w:rPr>
          <w:rFonts w:ascii="Times New Roman" w:eastAsiaTheme="minorHAnsi" w:hAnsi="Times New Roman" w:cs="Times New Roman"/>
          <w:szCs w:val="22"/>
          <w:lang w:eastAsia="en-US"/>
        </w:rPr>
        <w:t>‘</w:t>
      </w:r>
      <w:r w:rsidRPr="004A2098">
        <w:rPr>
          <w:rFonts w:ascii="Times New Roman" w:eastAsiaTheme="minorHAnsi" w:hAnsi="Times New Roman" w:cs="Times New Roman"/>
          <w:sz w:val="23"/>
          <w:szCs w:val="23"/>
          <w:lang w:eastAsia="en-US"/>
        </w:rPr>
        <w:t xml:space="preserve">the singular universal and naturalised category of childhood [should] be replaced by </w:t>
      </w:r>
      <w:r w:rsidRPr="004A2098">
        <w:rPr>
          <w:rFonts w:ascii="Times New Roman" w:eastAsiaTheme="minorHAnsi" w:hAnsi="Times New Roman" w:cs="Times New Roman"/>
          <w:i/>
          <w:iCs/>
          <w:sz w:val="23"/>
          <w:szCs w:val="23"/>
          <w:lang w:eastAsia="en-US"/>
        </w:rPr>
        <w:t xml:space="preserve">childhoods </w:t>
      </w:r>
      <w:r w:rsidRPr="004A2098">
        <w:rPr>
          <w:rFonts w:ascii="Times New Roman" w:eastAsiaTheme="minorHAnsi" w:hAnsi="Times New Roman" w:cs="Times New Roman"/>
          <w:sz w:val="23"/>
          <w:szCs w:val="23"/>
          <w:lang w:eastAsia="en-US"/>
        </w:rPr>
        <w:t>understood as dynamically configured, diverse and entangled assemblages of natural, cultural and technological elements’</w:t>
      </w:r>
      <w:r w:rsidRPr="004A2098">
        <w:rPr>
          <w:rFonts w:ascii="Times New Roman" w:eastAsiaTheme="minorHAnsi" w:hAnsi="Times New Roman" w:cs="Times New Roman"/>
          <w:sz w:val="23"/>
          <w:szCs w:val="23"/>
          <w:vertAlign w:val="superscript"/>
          <w:lang w:eastAsia="en-US"/>
        </w:rPr>
        <w:footnoteReference w:id="47"/>
      </w:r>
    </w:p>
    <w:p w14:paraId="0FD5F1AC" w14:textId="77777777" w:rsidR="004A2098" w:rsidRPr="004A2098" w:rsidRDefault="004A2098" w:rsidP="004A2098">
      <w:pPr>
        <w:spacing w:after="0" w:line="480" w:lineRule="auto"/>
        <w:jc w:val="both"/>
        <w:rPr>
          <w:rFonts w:ascii="Times New Roman" w:eastAsiaTheme="minorHAnsi" w:hAnsi="Times New Roman" w:cs="Times New Roman"/>
          <w:szCs w:val="24"/>
          <w:lang w:eastAsia="en-US"/>
        </w:rPr>
      </w:pPr>
    </w:p>
    <w:p w14:paraId="3A86871C" w14:textId="4B3FD262" w:rsidR="009C3747" w:rsidRPr="004A2098" w:rsidRDefault="004A2098" w:rsidP="009C3747">
      <w:pPr>
        <w:spacing w:after="0" w:line="480" w:lineRule="auto"/>
        <w:ind w:firstLine="720"/>
        <w:jc w:val="both"/>
        <w:rPr>
          <w:rFonts w:ascii="Times New Roman" w:eastAsiaTheme="minorHAnsi" w:hAnsi="Times New Roman" w:cs="Times New Roman"/>
          <w:szCs w:val="22"/>
          <w:lang w:eastAsia="en-US"/>
        </w:rPr>
      </w:pPr>
      <w:r w:rsidRPr="004A2098">
        <w:rPr>
          <w:rFonts w:ascii="Times New Roman" w:eastAsiaTheme="minorHAnsi" w:hAnsi="Times New Roman" w:cs="Times New Roman"/>
          <w:szCs w:val="24"/>
          <w:lang w:eastAsia="en-US"/>
        </w:rPr>
        <w:t>The study of childhood brings a focus to Anthropocene studies of smaller more intricate environments, where the tendency is often toward grander overarching histories of ecosystems and global networks. It asks us to consider how environment is presented to children</w:t>
      </w:r>
      <w:r w:rsidRPr="004A2098">
        <w:rPr>
          <w:rFonts w:ascii="Times New Roman" w:eastAsiaTheme="minorHAnsi" w:hAnsi="Times New Roman" w:cs="Times New Roman"/>
          <w:szCs w:val="22"/>
          <w:lang w:eastAsia="en-US"/>
        </w:rPr>
        <w:t xml:space="preserve">, what narratives are taught through our stories and schooling about the natural world and how do those influence us in adulthood. The Anthropocene also asks for a reappraisal of the narratives that adults tell themselves about childhood and environment, particularly those of nostalgia that idealise or demonise certain </w:t>
      </w:r>
      <w:r w:rsidRPr="004A2098">
        <w:rPr>
          <w:rFonts w:ascii="Times New Roman" w:eastAsiaTheme="minorHAnsi" w:hAnsi="Times New Roman" w:cs="Times New Roman"/>
          <w:i/>
          <w:iCs/>
          <w:szCs w:val="22"/>
          <w:lang w:eastAsia="en-US"/>
        </w:rPr>
        <w:t>types</w:t>
      </w:r>
      <w:r w:rsidRPr="004A2098">
        <w:rPr>
          <w:rFonts w:ascii="Times New Roman" w:eastAsiaTheme="minorHAnsi" w:hAnsi="Times New Roman" w:cs="Times New Roman"/>
          <w:szCs w:val="22"/>
          <w:lang w:eastAsia="en-US"/>
        </w:rPr>
        <w:t xml:space="preserve"> of youth, as these reflect ‘anxieties about social and economic change and its impact on the child, and the individual sense of identity and belonging, present in everyday life.’</w:t>
      </w:r>
      <w:r w:rsidRPr="004A2098">
        <w:rPr>
          <w:rFonts w:ascii="Times New Roman" w:eastAsiaTheme="minorHAnsi" w:hAnsi="Times New Roman" w:cs="Times New Roman"/>
          <w:szCs w:val="22"/>
          <w:vertAlign w:val="superscript"/>
          <w:lang w:eastAsia="en-US"/>
        </w:rPr>
        <w:footnoteReference w:id="48"/>
      </w:r>
      <w:r w:rsidRPr="004A2098">
        <w:rPr>
          <w:rFonts w:ascii="Times New Roman" w:eastAsiaTheme="minorHAnsi" w:hAnsi="Times New Roman" w:cs="Times New Roman"/>
          <w:szCs w:val="22"/>
          <w:lang w:eastAsia="en-US"/>
        </w:rPr>
        <w:t xml:space="preserve"> The study of how children’s lives are changing in the Anthropocene era is an important undertaking, but the conceptual framework this provides can also be used to study the history of childhood, and tell new stories that presence the child and their environments on their own terms. </w:t>
      </w:r>
    </w:p>
    <w:p w14:paraId="46275789" w14:textId="77777777" w:rsidR="00FE6E10" w:rsidRDefault="00FE6E10" w:rsidP="004A2098">
      <w:pPr>
        <w:pStyle w:val="Title"/>
        <w:spacing w:line="480" w:lineRule="auto"/>
        <w:jc w:val="both"/>
        <w:rPr>
          <w:rFonts w:ascii="Times New Roman" w:hAnsi="Times New Roman" w:cs="Times New Roman"/>
          <w:sz w:val="24"/>
          <w:szCs w:val="24"/>
        </w:rPr>
      </w:pPr>
    </w:p>
    <w:p w14:paraId="2FC2DAC6" w14:textId="71FD5690" w:rsidR="00F31A24" w:rsidRDefault="00F31A24" w:rsidP="00F31A24">
      <w:pPr>
        <w:rPr>
          <w:rFonts w:ascii="Times New Roman" w:hAnsi="Times New Roman" w:cs="Times New Roman"/>
          <w:sz w:val="28"/>
          <w:szCs w:val="22"/>
        </w:rPr>
      </w:pPr>
      <w:r w:rsidRPr="00F31A24">
        <w:rPr>
          <w:rFonts w:ascii="Times New Roman" w:hAnsi="Times New Roman" w:cs="Times New Roman"/>
          <w:sz w:val="28"/>
          <w:szCs w:val="22"/>
        </w:rPr>
        <w:lastRenderedPageBreak/>
        <w:t>Bibliography</w:t>
      </w:r>
    </w:p>
    <w:p w14:paraId="479CB08F"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Blake, William</w:t>
      </w:r>
      <w:r>
        <w:rPr>
          <w:rFonts w:ascii="Times New Roman" w:hAnsi="Times New Roman" w:cs="Times New Roman"/>
        </w:rPr>
        <w:t xml:space="preserve">. </w:t>
      </w:r>
      <w:r w:rsidRPr="00F31A24">
        <w:rPr>
          <w:rFonts w:ascii="Times New Roman" w:hAnsi="Times New Roman" w:cs="Times New Roman"/>
        </w:rPr>
        <w:t>Songs of Innocence and of Experience</w:t>
      </w:r>
      <w:r>
        <w:rPr>
          <w:rFonts w:ascii="Times New Roman" w:hAnsi="Times New Roman" w:cs="Times New Roman"/>
        </w:rPr>
        <w:t xml:space="preserve">. </w:t>
      </w:r>
      <w:r w:rsidRPr="00F31A24">
        <w:rPr>
          <w:rFonts w:ascii="Times New Roman" w:hAnsi="Times New Roman" w:cs="Times New Roman"/>
        </w:rPr>
        <w:t>London: Self-Published,</w:t>
      </w:r>
      <w:r>
        <w:rPr>
          <w:rFonts w:ascii="Times New Roman" w:hAnsi="Times New Roman" w:cs="Times New Roman"/>
        </w:rPr>
        <w:t xml:space="preserve"> 1794</w:t>
      </w:r>
      <w:r w:rsidRPr="00F31A24">
        <w:rPr>
          <w:rFonts w:ascii="Times New Roman" w:hAnsi="Times New Roman" w:cs="Times New Roman"/>
        </w:rPr>
        <w:t>.</w:t>
      </w:r>
    </w:p>
    <w:p w14:paraId="612E328B"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Blundell,</w:t>
      </w:r>
      <w:r>
        <w:rPr>
          <w:rFonts w:ascii="Times New Roman" w:hAnsi="Times New Roman" w:cs="Times New Roman"/>
        </w:rPr>
        <w:t xml:space="preserve"> </w:t>
      </w:r>
      <w:r w:rsidRPr="00F31A24">
        <w:rPr>
          <w:rFonts w:ascii="Times New Roman" w:hAnsi="Times New Roman" w:cs="Times New Roman"/>
        </w:rPr>
        <w:t>David</w:t>
      </w:r>
      <w:r>
        <w:rPr>
          <w:rFonts w:ascii="Times New Roman" w:hAnsi="Times New Roman" w:cs="Times New Roman"/>
        </w:rPr>
        <w:t>.</w:t>
      </w:r>
      <w:r w:rsidRPr="00F31A24">
        <w:rPr>
          <w:rFonts w:ascii="Times New Roman" w:hAnsi="Times New Roman" w:cs="Times New Roman"/>
        </w:rPr>
        <w:t xml:space="preserve"> “‘Nature’, Childhood, and The Anthropocene: evaluating the challenges for Education Studies</w:t>
      </w:r>
      <w:r>
        <w:rPr>
          <w:rFonts w:ascii="Times New Roman" w:hAnsi="Times New Roman" w:cs="Times New Roman"/>
        </w:rPr>
        <w:t>.</w:t>
      </w:r>
      <w:r w:rsidRPr="00F31A24">
        <w:rPr>
          <w:rFonts w:ascii="Times New Roman" w:hAnsi="Times New Roman" w:cs="Times New Roman"/>
        </w:rPr>
        <w:t xml:space="preserve">” </w:t>
      </w:r>
      <w:r w:rsidRPr="00545C40">
        <w:rPr>
          <w:rFonts w:ascii="Times New Roman" w:hAnsi="Times New Roman" w:cs="Times New Roman"/>
          <w:i/>
          <w:iCs/>
        </w:rPr>
        <w:t>British Education Studies Association Journal</w:t>
      </w:r>
      <w:r w:rsidRPr="00F31A24">
        <w:rPr>
          <w:rFonts w:ascii="Times New Roman" w:hAnsi="Times New Roman" w:cs="Times New Roman"/>
        </w:rPr>
        <w:t xml:space="preserve"> 8 (2017).</w:t>
      </w:r>
    </w:p>
    <w:p w14:paraId="4455DB1C"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Blundell,</w:t>
      </w:r>
      <w:r>
        <w:rPr>
          <w:rFonts w:ascii="Times New Roman" w:hAnsi="Times New Roman" w:cs="Times New Roman"/>
        </w:rPr>
        <w:t xml:space="preserve"> </w:t>
      </w:r>
      <w:r w:rsidRPr="00F31A24">
        <w:rPr>
          <w:rFonts w:ascii="Times New Roman" w:hAnsi="Times New Roman" w:cs="Times New Roman"/>
        </w:rPr>
        <w:t>David</w:t>
      </w:r>
      <w:r>
        <w:rPr>
          <w:rFonts w:ascii="Times New Roman" w:hAnsi="Times New Roman" w:cs="Times New Roman"/>
        </w:rPr>
        <w:t>.</w:t>
      </w:r>
      <w:r w:rsidRPr="00F31A24">
        <w:rPr>
          <w:rFonts w:ascii="Times New Roman" w:hAnsi="Times New Roman" w:cs="Times New Roman"/>
        </w:rPr>
        <w:t xml:space="preserve"> “Children’s Lives Across The Anthropocene: reconsidering the place of Modern Childhood in Education Studies</w:t>
      </w:r>
      <w:r>
        <w:rPr>
          <w:rFonts w:ascii="Times New Roman" w:hAnsi="Times New Roman" w:cs="Times New Roman"/>
        </w:rPr>
        <w:t>.</w:t>
      </w:r>
      <w:r w:rsidRPr="00F31A24">
        <w:rPr>
          <w:rFonts w:ascii="Times New Roman" w:hAnsi="Times New Roman" w:cs="Times New Roman"/>
        </w:rPr>
        <w:t>” PhD Diss</w:t>
      </w:r>
      <w:r>
        <w:rPr>
          <w:rFonts w:ascii="Times New Roman" w:hAnsi="Times New Roman" w:cs="Times New Roman"/>
        </w:rPr>
        <w:t>ertation</w:t>
      </w:r>
      <w:r w:rsidRPr="00F31A24">
        <w:rPr>
          <w:rFonts w:ascii="Times New Roman" w:hAnsi="Times New Roman" w:cs="Times New Roman"/>
        </w:rPr>
        <w:t>, London Metropolitan University, 2017.</w:t>
      </w:r>
    </w:p>
    <w:p w14:paraId="2CC38821"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Canning,</w:t>
      </w:r>
      <w:r>
        <w:rPr>
          <w:rFonts w:ascii="Times New Roman" w:hAnsi="Times New Roman" w:cs="Times New Roman"/>
        </w:rPr>
        <w:t xml:space="preserve"> </w:t>
      </w:r>
      <w:r w:rsidRPr="00F31A24">
        <w:rPr>
          <w:rFonts w:ascii="Times New Roman" w:hAnsi="Times New Roman" w:cs="Times New Roman"/>
        </w:rPr>
        <w:t>Natalie</w:t>
      </w:r>
      <w:r>
        <w:rPr>
          <w:rFonts w:ascii="Times New Roman" w:hAnsi="Times New Roman" w:cs="Times New Roman"/>
        </w:rPr>
        <w:t>.</w:t>
      </w:r>
      <w:r w:rsidRPr="00F31A24">
        <w:rPr>
          <w:rFonts w:ascii="Times New Roman" w:hAnsi="Times New Roman" w:cs="Times New Roman"/>
        </w:rPr>
        <w:t xml:space="preserve"> </w:t>
      </w:r>
      <w:r w:rsidRPr="003F34D4">
        <w:rPr>
          <w:rFonts w:ascii="Times New Roman" w:hAnsi="Times New Roman" w:cs="Times New Roman"/>
          <w:i/>
          <w:iCs/>
        </w:rPr>
        <w:t>Play and Practice in the Early Years Foundation Stage</w:t>
      </w:r>
      <w:r>
        <w:rPr>
          <w:rFonts w:ascii="Times New Roman" w:hAnsi="Times New Roman" w:cs="Times New Roman"/>
        </w:rPr>
        <w:t xml:space="preserve">. </w:t>
      </w:r>
      <w:r w:rsidRPr="00F31A24">
        <w:rPr>
          <w:rFonts w:ascii="Times New Roman" w:hAnsi="Times New Roman" w:cs="Times New Roman"/>
        </w:rPr>
        <w:t>London: SAGE Publishing, 2010.</w:t>
      </w:r>
    </w:p>
    <w:p w14:paraId="644A345A"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Chakrabarty</w:t>
      </w:r>
      <w:r>
        <w:rPr>
          <w:rFonts w:ascii="Times New Roman" w:hAnsi="Times New Roman" w:cs="Times New Roman"/>
        </w:rPr>
        <w:t xml:space="preserve">, </w:t>
      </w:r>
      <w:r w:rsidRPr="00F31A24">
        <w:rPr>
          <w:rFonts w:ascii="Times New Roman" w:hAnsi="Times New Roman" w:cs="Times New Roman"/>
        </w:rPr>
        <w:t>Dipesh and Kathleen Morrison</w:t>
      </w:r>
      <w:r>
        <w:rPr>
          <w:rFonts w:ascii="Times New Roman" w:hAnsi="Times New Roman" w:cs="Times New Roman"/>
        </w:rPr>
        <w:t xml:space="preserve">. </w:t>
      </w:r>
      <w:r w:rsidRPr="00237D1D">
        <w:rPr>
          <w:rFonts w:ascii="Times New Roman" w:hAnsi="Times New Roman" w:cs="Times New Roman"/>
          <w:i/>
          <w:iCs/>
        </w:rPr>
        <w:t>Subaltern Studies, Postcolonial Perspectives, and the Anthropocene</w:t>
      </w:r>
      <w:r>
        <w:rPr>
          <w:rFonts w:ascii="Times New Roman" w:hAnsi="Times New Roman" w:cs="Times New Roman"/>
          <w:i/>
          <w:iCs/>
        </w:rPr>
        <w:t>.</w:t>
      </w:r>
      <w:r w:rsidRPr="00F31A24">
        <w:rPr>
          <w:rFonts w:ascii="Times New Roman" w:hAnsi="Times New Roman" w:cs="Times New Roman"/>
        </w:rPr>
        <w:t xml:space="preserve"> Abingdon, Oxon: Routledge/Taylor &amp; Francis Group, 2020.</w:t>
      </w:r>
    </w:p>
    <w:p w14:paraId="0DC73CC9"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Common Worlds Research Collective</w:t>
      </w:r>
      <w:r>
        <w:rPr>
          <w:rFonts w:ascii="Times New Roman" w:hAnsi="Times New Roman" w:cs="Times New Roman"/>
        </w:rPr>
        <w:t>.</w:t>
      </w:r>
      <w:r w:rsidRPr="00F31A24">
        <w:rPr>
          <w:rFonts w:ascii="Times New Roman" w:hAnsi="Times New Roman" w:cs="Times New Roman"/>
        </w:rPr>
        <w:t xml:space="preserve"> “Children’s Relations with Materials</w:t>
      </w:r>
      <w:r>
        <w:rPr>
          <w:rFonts w:ascii="Times New Roman" w:hAnsi="Times New Roman" w:cs="Times New Roman"/>
        </w:rPr>
        <w:t>.</w:t>
      </w:r>
      <w:r w:rsidRPr="00F31A24">
        <w:rPr>
          <w:rFonts w:ascii="Times New Roman" w:hAnsi="Times New Roman" w:cs="Times New Roman"/>
        </w:rPr>
        <w:t>”</w:t>
      </w:r>
      <w:r>
        <w:rPr>
          <w:rFonts w:ascii="Times New Roman" w:hAnsi="Times New Roman" w:cs="Times New Roman"/>
        </w:rPr>
        <w:t xml:space="preserve"> A</w:t>
      </w:r>
      <w:r w:rsidRPr="00F31A24">
        <w:rPr>
          <w:rFonts w:ascii="Times New Roman" w:hAnsi="Times New Roman" w:cs="Times New Roman"/>
        </w:rPr>
        <w:t>ccessed 3 May 2020</w:t>
      </w:r>
      <w:r>
        <w:rPr>
          <w:rFonts w:ascii="Times New Roman" w:hAnsi="Times New Roman" w:cs="Times New Roman"/>
        </w:rPr>
        <w:t>.</w:t>
      </w:r>
      <w:r w:rsidRPr="00F31A24">
        <w:rPr>
          <w:rFonts w:ascii="Times New Roman" w:hAnsi="Times New Roman" w:cs="Times New Roman"/>
        </w:rPr>
        <w:t xml:space="preserve"> http://commonworlds.net/childrens-relations-with-materials/.</w:t>
      </w:r>
    </w:p>
    <w:p w14:paraId="2F73A790"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Common Worlds Research Collective</w:t>
      </w:r>
      <w:r>
        <w:rPr>
          <w:rFonts w:ascii="Times New Roman" w:hAnsi="Times New Roman" w:cs="Times New Roman"/>
        </w:rPr>
        <w:t>.</w:t>
      </w:r>
      <w:r w:rsidRPr="00F31A24">
        <w:rPr>
          <w:rFonts w:ascii="Times New Roman" w:hAnsi="Times New Roman" w:cs="Times New Roman"/>
        </w:rPr>
        <w:t xml:space="preserve"> “Children’s Relations with Place</w:t>
      </w:r>
      <w:r>
        <w:rPr>
          <w:rFonts w:ascii="Times New Roman" w:hAnsi="Times New Roman" w:cs="Times New Roman"/>
        </w:rPr>
        <w:t>.</w:t>
      </w:r>
      <w:r w:rsidRPr="00F31A24">
        <w:rPr>
          <w:rFonts w:ascii="Times New Roman" w:hAnsi="Times New Roman" w:cs="Times New Roman"/>
        </w:rPr>
        <w:t>”</w:t>
      </w:r>
      <w:r>
        <w:rPr>
          <w:rFonts w:ascii="Times New Roman" w:hAnsi="Times New Roman" w:cs="Times New Roman"/>
        </w:rPr>
        <w:t xml:space="preserve"> A</w:t>
      </w:r>
      <w:r w:rsidRPr="00F31A24">
        <w:rPr>
          <w:rFonts w:ascii="Times New Roman" w:hAnsi="Times New Roman" w:cs="Times New Roman"/>
        </w:rPr>
        <w:t>ccessed 3 May 2020</w:t>
      </w:r>
      <w:r>
        <w:rPr>
          <w:rFonts w:ascii="Times New Roman" w:hAnsi="Times New Roman" w:cs="Times New Roman"/>
        </w:rPr>
        <w:t>.</w:t>
      </w:r>
      <w:r w:rsidRPr="00F31A24">
        <w:rPr>
          <w:rFonts w:ascii="Times New Roman" w:hAnsi="Times New Roman" w:cs="Times New Roman"/>
        </w:rPr>
        <w:t xml:space="preserve"> http://commonworlds.net/childrens-relations-with-place/.</w:t>
      </w:r>
    </w:p>
    <w:p w14:paraId="02F0102A"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Cronon</w:t>
      </w:r>
      <w:r>
        <w:rPr>
          <w:rFonts w:ascii="Times New Roman" w:hAnsi="Times New Roman" w:cs="Times New Roman"/>
        </w:rPr>
        <w:t xml:space="preserve">, </w:t>
      </w:r>
      <w:r w:rsidRPr="00F31A24">
        <w:rPr>
          <w:rFonts w:ascii="Times New Roman" w:hAnsi="Times New Roman" w:cs="Times New Roman"/>
        </w:rPr>
        <w:t>William and Thomas Dunlap</w:t>
      </w:r>
      <w:r w:rsidRPr="00637800">
        <w:rPr>
          <w:rFonts w:ascii="Times New Roman" w:hAnsi="Times New Roman" w:cs="Times New Roman"/>
          <w:i/>
          <w:iCs/>
        </w:rPr>
        <w:t>. Faith in Nature: Environmentalism as Religious Quest</w:t>
      </w:r>
      <w:r>
        <w:rPr>
          <w:rFonts w:ascii="Times New Roman" w:hAnsi="Times New Roman" w:cs="Times New Roman"/>
        </w:rPr>
        <w:t xml:space="preserve">. </w:t>
      </w:r>
      <w:r w:rsidRPr="00F31A24">
        <w:rPr>
          <w:rFonts w:ascii="Times New Roman" w:hAnsi="Times New Roman" w:cs="Times New Roman"/>
        </w:rPr>
        <w:t>Seattle: University of Washington Press, 2005.</w:t>
      </w:r>
    </w:p>
    <w:p w14:paraId="4EA8CE5C" w14:textId="77777777" w:rsidR="00C82053" w:rsidRPr="00F31A24" w:rsidRDefault="00C82053" w:rsidP="00F31A24">
      <w:pPr>
        <w:spacing w:line="276" w:lineRule="auto"/>
        <w:rPr>
          <w:rFonts w:ascii="Times New Roman" w:hAnsi="Times New Roman" w:cs="Times New Roman"/>
        </w:rPr>
      </w:pPr>
      <w:proofErr w:type="spellStart"/>
      <w:r w:rsidRPr="00F31A24">
        <w:rPr>
          <w:rFonts w:ascii="Times New Roman" w:hAnsi="Times New Roman" w:cs="Times New Roman"/>
        </w:rPr>
        <w:t>Crutzen</w:t>
      </w:r>
      <w:proofErr w:type="spellEnd"/>
      <w:r w:rsidRPr="00F31A24">
        <w:rPr>
          <w:rFonts w:ascii="Times New Roman" w:hAnsi="Times New Roman" w:cs="Times New Roman"/>
        </w:rPr>
        <w:t>,</w:t>
      </w:r>
      <w:r>
        <w:rPr>
          <w:rFonts w:ascii="Times New Roman" w:hAnsi="Times New Roman" w:cs="Times New Roman"/>
        </w:rPr>
        <w:t xml:space="preserve"> </w:t>
      </w:r>
      <w:r w:rsidRPr="00F31A24">
        <w:rPr>
          <w:rFonts w:ascii="Times New Roman" w:hAnsi="Times New Roman" w:cs="Times New Roman"/>
        </w:rPr>
        <w:t>Paul</w:t>
      </w:r>
      <w:r>
        <w:rPr>
          <w:rFonts w:ascii="Times New Roman" w:hAnsi="Times New Roman" w:cs="Times New Roman"/>
        </w:rPr>
        <w:t>.</w:t>
      </w:r>
      <w:r w:rsidRPr="00F31A24">
        <w:rPr>
          <w:rFonts w:ascii="Times New Roman" w:hAnsi="Times New Roman" w:cs="Times New Roman"/>
        </w:rPr>
        <w:t xml:space="preserve"> "Geology of mankind</w:t>
      </w:r>
      <w:r>
        <w:rPr>
          <w:rFonts w:ascii="Times New Roman" w:hAnsi="Times New Roman" w:cs="Times New Roman"/>
        </w:rPr>
        <w:t>.</w:t>
      </w:r>
      <w:r w:rsidRPr="00F31A24">
        <w:rPr>
          <w:rFonts w:ascii="Times New Roman" w:hAnsi="Times New Roman" w:cs="Times New Roman"/>
        </w:rPr>
        <w:t xml:space="preserve">" </w:t>
      </w:r>
      <w:r w:rsidRPr="00A07AD4">
        <w:rPr>
          <w:rFonts w:ascii="Times New Roman" w:hAnsi="Times New Roman" w:cs="Times New Roman"/>
          <w:i/>
          <w:iCs/>
        </w:rPr>
        <w:t>Nature</w:t>
      </w:r>
      <w:r w:rsidRPr="00F31A24">
        <w:rPr>
          <w:rFonts w:ascii="Times New Roman" w:hAnsi="Times New Roman" w:cs="Times New Roman"/>
        </w:rPr>
        <w:t xml:space="preserve"> 415 (2002).</w:t>
      </w:r>
    </w:p>
    <w:p w14:paraId="3D01749E"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Edwards,</w:t>
      </w:r>
      <w:r>
        <w:rPr>
          <w:rFonts w:ascii="Times New Roman" w:hAnsi="Times New Roman" w:cs="Times New Roman"/>
        </w:rPr>
        <w:t xml:space="preserve"> </w:t>
      </w:r>
      <w:r w:rsidRPr="00F31A24">
        <w:rPr>
          <w:rFonts w:ascii="Times New Roman" w:hAnsi="Times New Roman" w:cs="Times New Roman"/>
        </w:rPr>
        <w:t>Sian</w:t>
      </w:r>
      <w:r>
        <w:rPr>
          <w:rFonts w:ascii="Times New Roman" w:hAnsi="Times New Roman" w:cs="Times New Roman"/>
        </w:rPr>
        <w:t>.</w:t>
      </w:r>
      <w:r w:rsidRPr="00F31A24">
        <w:rPr>
          <w:rFonts w:ascii="Times New Roman" w:hAnsi="Times New Roman" w:cs="Times New Roman"/>
        </w:rPr>
        <w:t xml:space="preserve"> “‘A Richness that is Lacking Now’: Country Childhoods, Nostalgia and Rural Change in the Mass Observation Project</w:t>
      </w:r>
      <w:r>
        <w:rPr>
          <w:rFonts w:ascii="Times New Roman" w:hAnsi="Times New Roman" w:cs="Times New Roman"/>
        </w:rPr>
        <w:t>.</w:t>
      </w:r>
      <w:r w:rsidRPr="00F31A24">
        <w:rPr>
          <w:rFonts w:ascii="Times New Roman" w:hAnsi="Times New Roman" w:cs="Times New Roman"/>
        </w:rPr>
        <w:t xml:space="preserve">” </w:t>
      </w:r>
      <w:r w:rsidRPr="00973D28">
        <w:rPr>
          <w:rFonts w:ascii="Times New Roman" w:hAnsi="Times New Roman" w:cs="Times New Roman"/>
          <w:i/>
          <w:iCs/>
        </w:rPr>
        <w:t>History</w:t>
      </w:r>
      <w:r w:rsidRPr="00F31A24">
        <w:rPr>
          <w:rFonts w:ascii="Times New Roman" w:hAnsi="Times New Roman" w:cs="Times New Roman"/>
        </w:rPr>
        <w:t xml:space="preserve"> 104 (2020): </w:t>
      </w:r>
      <w:r>
        <w:rPr>
          <w:rFonts w:ascii="Times New Roman" w:hAnsi="Times New Roman" w:cs="Times New Roman"/>
        </w:rPr>
        <w:t>941-964</w:t>
      </w:r>
      <w:r w:rsidRPr="00F31A24">
        <w:rPr>
          <w:rFonts w:ascii="Times New Roman" w:hAnsi="Times New Roman" w:cs="Times New Roman"/>
        </w:rPr>
        <w:t>.</w:t>
      </w:r>
    </w:p>
    <w:p w14:paraId="7BE3B008"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Edwards,</w:t>
      </w:r>
      <w:r>
        <w:rPr>
          <w:rFonts w:ascii="Times New Roman" w:hAnsi="Times New Roman" w:cs="Times New Roman"/>
        </w:rPr>
        <w:t xml:space="preserve"> </w:t>
      </w:r>
      <w:r w:rsidRPr="00F31A24">
        <w:rPr>
          <w:rFonts w:ascii="Times New Roman" w:hAnsi="Times New Roman" w:cs="Times New Roman"/>
        </w:rPr>
        <w:t>Sian</w:t>
      </w:r>
      <w:r>
        <w:rPr>
          <w:rFonts w:ascii="Times New Roman" w:hAnsi="Times New Roman" w:cs="Times New Roman"/>
        </w:rPr>
        <w:t>.</w:t>
      </w:r>
      <w:r w:rsidRPr="00F31A24">
        <w:rPr>
          <w:rFonts w:ascii="Times New Roman" w:hAnsi="Times New Roman" w:cs="Times New Roman"/>
        </w:rPr>
        <w:t xml:space="preserve"> </w:t>
      </w:r>
      <w:r w:rsidRPr="0003242A">
        <w:rPr>
          <w:rFonts w:ascii="Times New Roman" w:hAnsi="Times New Roman" w:cs="Times New Roman"/>
          <w:i/>
          <w:iCs/>
        </w:rPr>
        <w:t>Youth Movements, Citizenship and the English Countryside: Creating Good Citizens, 1930-1960</w:t>
      </w:r>
      <w:r>
        <w:rPr>
          <w:rFonts w:ascii="Times New Roman" w:hAnsi="Times New Roman" w:cs="Times New Roman"/>
        </w:rPr>
        <w:t xml:space="preserve">. </w:t>
      </w:r>
      <w:r w:rsidRPr="00F31A24">
        <w:rPr>
          <w:rFonts w:ascii="Times New Roman" w:hAnsi="Times New Roman" w:cs="Times New Roman"/>
        </w:rPr>
        <w:t>Cham: Springer International Publishing, 2018.</w:t>
      </w:r>
    </w:p>
    <w:p w14:paraId="68E50C8E"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Gibson</w:t>
      </w:r>
      <w:r>
        <w:rPr>
          <w:rFonts w:ascii="Times New Roman" w:hAnsi="Times New Roman" w:cs="Times New Roman"/>
        </w:rPr>
        <w:t xml:space="preserve">, </w:t>
      </w:r>
      <w:r w:rsidRPr="00F31A24">
        <w:rPr>
          <w:rFonts w:ascii="Times New Roman" w:hAnsi="Times New Roman" w:cs="Times New Roman"/>
        </w:rPr>
        <w:t>Katherine and Julie Graham</w:t>
      </w:r>
      <w:r>
        <w:rPr>
          <w:rFonts w:ascii="Times New Roman" w:hAnsi="Times New Roman" w:cs="Times New Roman"/>
        </w:rPr>
        <w:t xml:space="preserve">. </w:t>
      </w:r>
      <w:r w:rsidRPr="00F31A24">
        <w:rPr>
          <w:rFonts w:ascii="Times New Roman" w:hAnsi="Times New Roman" w:cs="Times New Roman"/>
        </w:rPr>
        <w:t>“A Feminist Project of Belonging for the Anthropocene</w:t>
      </w:r>
      <w:r>
        <w:rPr>
          <w:rFonts w:ascii="Times New Roman" w:hAnsi="Times New Roman" w:cs="Times New Roman"/>
        </w:rPr>
        <w:t>.</w:t>
      </w:r>
      <w:r w:rsidRPr="00F31A24">
        <w:rPr>
          <w:rFonts w:ascii="Times New Roman" w:hAnsi="Times New Roman" w:cs="Times New Roman"/>
        </w:rPr>
        <w:t xml:space="preserve">” </w:t>
      </w:r>
      <w:r w:rsidRPr="00973D28">
        <w:rPr>
          <w:rFonts w:ascii="Times New Roman" w:hAnsi="Times New Roman" w:cs="Times New Roman"/>
          <w:i/>
          <w:iCs/>
        </w:rPr>
        <w:t>Gender, Place &amp; Culture</w:t>
      </w:r>
      <w:r w:rsidRPr="00F31A24">
        <w:rPr>
          <w:rFonts w:ascii="Times New Roman" w:hAnsi="Times New Roman" w:cs="Times New Roman"/>
        </w:rPr>
        <w:t xml:space="preserve"> 18 (2011).</w:t>
      </w:r>
    </w:p>
    <w:p w14:paraId="361F81EC"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Gibson</w:t>
      </w:r>
      <w:r>
        <w:rPr>
          <w:rFonts w:ascii="Times New Roman" w:hAnsi="Times New Roman" w:cs="Times New Roman"/>
        </w:rPr>
        <w:t xml:space="preserve">, </w:t>
      </w:r>
      <w:r w:rsidRPr="00F31A24">
        <w:rPr>
          <w:rFonts w:ascii="Times New Roman" w:hAnsi="Times New Roman" w:cs="Times New Roman"/>
        </w:rPr>
        <w:t>Katherine and Julie Graham</w:t>
      </w:r>
      <w:r>
        <w:rPr>
          <w:rFonts w:ascii="Times New Roman" w:hAnsi="Times New Roman" w:cs="Times New Roman"/>
        </w:rPr>
        <w:t>.</w:t>
      </w:r>
      <w:r w:rsidRPr="00F31A24">
        <w:rPr>
          <w:rFonts w:ascii="Times New Roman" w:hAnsi="Times New Roman" w:cs="Times New Roman"/>
        </w:rPr>
        <w:t xml:space="preserve"> “A Feminist Project of Belonging for the Anthropocene</w:t>
      </w:r>
      <w:r>
        <w:rPr>
          <w:rFonts w:ascii="Times New Roman" w:hAnsi="Times New Roman" w:cs="Times New Roman"/>
        </w:rPr>
        <w:t>.</w:t>
      </w:r>
      <w:r w:rsidRPr="00F31A24">
        <w:rPr>
          <w:rFonts w:ascii="Times New Roman" w:hAnsi="Times New Roman" w:cs="Times New Roman"/>
        </w:rPr>
        <w:t xml:space="preserve">” </w:t>
      </w:r>
      <w:r w:rsidRPr="004C567F">
        <w:rPr>
          <w:rFonts w:ascii="Times New Roman" w:hAnsi="Times New Roman" w:cs="Times New Roman"/>
          <w:i/>
          <w:iCs/>
        </w:rPr>
        <w:t>Gender, Place &amp; Culture</w:t>
      </w:r>
      <w:r w:rsidRPr="00F31A24">
        <w:rPr>
          <w:rFonts w:ascii="Times New Roman" w:hAnsi="Times New Roman" w:cs="Times New Roman"/>
        </w:rPr>
        <w:t xml:space="preserve"> 18 (2011).</w:t>
      </w:r>
    </w:p>
    <w:p w14:paraId="71C80882" w14:textId="77777777" w:rsidR="00C82053" w:rsidRPr="00F31A24" w:rsidRDefault="00C82053" w:rsidP="00F31A24">
      <w:pPr>
        <w:spacing w:line="276" w:lineRule="auto"/>
        <w:rPr>
          <w:rFonts w:ascii="Times New Roman" w:hAnsi="Times New Roman" w:cs="Times New Roman"/>
        </w:rPr>
      </w:pPr>
      <w:proofErr w:type="spellStart"/>
      <w:r w:rsidRPr="00F31A24">
        <w:rPr>
          <w:rFonts w:ascii="Times New Roman" w:hAnsi="Times New Roman" w:cs="Times New Roman"/>
        </w:rPr>
        <w:t>Gurholt</w:t>
      </w:r>
      <w:proofErr w:type="spellEnd"/>
      <w:r>
        <w:rPr>
          <w:rFonts w:ascii="Times New Roman" w:hAnsi="Times New Roman" w:cs="Times New Roman"/>
        </w:rPr>
        <w:t xml:space="preserve">, </w:t>
      </w:r>
      <w:r w:rsidRPr="00F31A24">
        <w:rPr>
          <w:rFonts w:ascii="Times New Roman" w:hAnsi="Times New Roman" w:cs="Times New Roman"/>
        </w:rPr>
        <w:t xml:space="preserve">Kirsti Pedersen and </w:t>
      </w:r>
      <w:proofErr w:type="spellStart"/>
      <w:r w:rsidRPr="00F31A24">
        <w:rPr>
          <w:rFonts w:ascii="Times New Roman" w:hAnsi="Times New Roman" w:cs="Times New Roman"/>
        </w:rPr>
        <w:t>Jostein</w:t>
      </w:r>
      <w:proofErr w:type="spellEnd"/>
      <w:r w:rsidRPr="00F31A24">
        <w:rPr>
          <w:rFonts w:ascii="Times New Roman" w:hAnsi="Times New Roman" w:cs="Times New Roman"/>
        </w:rPr>
        <w:t xml:space="preserve"> </w:t>
      </w:r>
      <w:proofErr w:type="spellStart"/>
      <w:r w:rsidRPr="00F31A24">
        <w:rPr>
          <w:rFonts w:ascii="Times New Roman" w:hAnsi="Times New Roman" w:cs="Times New Roman"/>
        </w:rPr>
        <w:t>Rønning</w:t>
      </w:r>
      <w:proofErr w:type="spellEnd"/>
      <w:r w:rsidRPr="00F31A24">
        <w:rPr>
          <w:rFonts w:ascii="Times New Roman" w:hAnsi="Times New Roman" w:cs="Times New Roman"/>
        </w:rPr>
        <w:t xml:space="preserve"> </w:t>
      </w:r>
      <w:proofErr w:type="spellStart"/>
      <w:r w:rsidRPr="00F31A24">
        <w:rPr>
          <w:rFonts w:ascii="Times New Roman" w:hAnsi="Times New Roman" w:cs="Times New Roman"/>
        </w:rPr>
        <w:t>Sanderud</w:t>
      </w:r>
      <w:proofErr w:type="spellEnd"/>
      <w:r>
        <w:rPr>
          <w:rFonts w:ascii="Times New Roman" w:hAnsi="Times New Roman" w:cs="Times New Roman"/>
        </w:rPr>
        <w:t xml:space="preserve">. </w:t>
      </w:r>
      <w:r w:rsidRPr="00F31A24">
        <w:rPr>
          <w:rFonts w:ascii="Times New Roman" w:hAnsi="Times New Roman" w:cs="Times New Roman"/>
        </w:rPr>
        <w:t>“Curious Play: Children’s Exploration of Nature</w:t>
      </w:r>
      <w:r>
        <w:rPr>
          <w:rFonts w:ascii="Times New Roman" w:hAnsi="Times New Roman" w:cs="Times New Roman"/>
        </w:rPr>
        <w:t>.</w:t>
      </w:r>
      <w:r w:rsidRPr="00F31A24">
        <w:rPr>
          <w:rFonts w:ascii="Times New Roman" w:hAnsi="Times New Roman" w:cs="Times New Roman"/>
        </w:rPr>
        <w:t xml:space="preserve">” </w:t>
      </w:r>
      <w:r w:rsidRPr="00973D28">
        <w:rPr>
          <w:rFonts w:ascii="Times New Roman" w:hAnsi="Times New Roman" w:cs="Times New Roman"/>
          <w:i/>
          <w:iCs/>
        </w:rPr>
        <w:t>Journal of Adventure Education and Outdoor Learning</w:t>
      </w:r>
      <w:r w:rsidRPr="00F31A24">
        <w:rPr>
          <w:rFonts w:ascii="Times New Roman" w:hAnsi="Times New Roman" w:cs="Times New Roman"/>
        </w:rPr>
        <w:t xml:space="preserve"> 16 (2016)</w:t>
      </w:r>
      <w:r>
        <w:rPr>
          <w:rFonts w:ascii="Times New Roman" w:hAnsi="Times New Roman" w:cs="Times New Roman"/>
        </w:rPr>
        <w:t>.</w:t>
      </w:r>
    </w:p>
    <w:p w14:paraId="21FB51E6"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Hamilton</w:t>
      </w:r>
      <w:r>
        <w:rPr>
          <w:rFonts w:ascii="Times New Roman" w:hAnsi="Times New Roman" w:cs="Times New Roman"/>
        </w:rPr>
        <w:t xml:space="preserve">, </w:t>
      </w:r>
      <w:r w:rsidRPr="00F31A24">
        <w:rPr>
          <w:rFonts w:ascii="Times New Roman" w:hAnsi="Times New Roman" w:cs="Times New Roman"/>
        </w:rPr>
        <w:t xml:space="preserve">Clive and Jacques </w:t>
      </w:r>
      <w:proofErr w:type="spellStart"/>
      <w:r w:rsidRPr="00F31A24">
        <w:rPr>
          <w:rFonts w:ascii="Times New Roman" w:hAnsi="Times New Roman" w:cs="Times New Roman"/>
        </w:rPr>
        <w:t>Grinevald</w:t>
      </w:r>
      <w:proofErr w:type="spellEnd"/>
      <w:r>
        <w:rPr>
          <w:rFonts w:ascii="Times New Roman" w:hAnsi="Times New Roman" w:cs="Times New Roman"/>
        </w:rPr>
        <w:t>.</w:t>
      </w:r>
      <w:r w:rsidRPr="00F31A24">
        <w:rPr>
          <w:rFonts w:ascii="Times New Roman" w:hAnsi="Times New Roman" w:cs="Times New Roman"/>
        </w:rPr>
        <w:t xml:space="preserve"> “Was the Anthropocene Anticipated?</w:t>
      </w:r>
      <w:r>
        <w:rPr>
          <w:rFonts w:ascii="Times New Roman" w:hAnsi="Times New Roman" w:cs="Times New Roman"/>
        </w:rPr>
        <w:t>.</w:t>
      </w:r>
      <w:r w:rsidRPr="00F31A24">
        <w:rPr>
          <w:rFonts w:ascii="Times New Roman" w:hAnsi="Times New Roman" w:cs="Times New Roman"/>
        </w:rPr>
        <w:t xml:space="preserve">” </w:t>
      </w:r>
      <w:r w:rsidRPr="002D254C">
        <w:rPr>
          <w:rFonts w:ascii="Times New Roman" w:hAnsi="Times New Roman" w:cs="Times New Roman"/>
          <w:i/>
          <w:iCs/>
        </w:rPr>
        <w:t>The Anthropocene Review</w:t>
      </w:r>
      <w:r w:rsidRPr="00F31A24">
        <w:rPr>
          <w:rFonts w:ascii="Times New Roman" w:hAnsi="Times New Roman" w:cs="Times New Roman"/>
        </w:rPr>
        <w:t xml:space="preserve"> 2 (2015).</w:t>
      </w:r>
    </w:p>
    <w:p w14:paraId="4181A2F8"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Haraway,</w:t>
      </w:r>
      <w:r>
        <w:rPr>
          <w:rFonts w:ascii="Times New Roman" w:hAnsi="Times New Roman" w:cs="Times New Roman"/>
        </w:rPr>
        <w:t xml:space="preserve"> </w:t>
      </w:r>
      <w:r w:rsidRPr="00F31A24">
        <w:rPr>
          <w:rFonts w:ascii="Times New Roman" w:hAnsi="Times New Roman" w:cs="Times New Roman"/>
        </w:rPr>
        <w:t>Donna</w:t>
      </w:r>
      <w:r>
        <w:rPr>
          <w:rFonts w:ascii="Times New Roman" w:hAnsi="Times New Roman" w:cs="Times New Roman"/>
        </w:rPr>
        <w:t>.</w:t>
      </w:r>
      <w:r w:rsidRPr="00F31A24">
        <w:rPr>
          <w:rFonts w:ascii="Times New Roman" w:hAnsi="Times New Roman" w:cs="Times New Roman"/>
        </w:rPr>
        <w:t xml:space="preserve"> “Anthropocene, </w:t>
      </w:r>
      <w:proofErr w:type="spellStart"/>
      <w:r w:rsidRPr="00F31A24">
        <w:rPr>
          <w:rFonts w:ascii="Times New Roman" w:hAnsi="Times New Roman" w:cs="Times New Roman"/>
        </w:rPr>
        <w:t>Capitalocene</w:t>
      </w:r>
      <w:proofErr w:type="spellEnd"/>
      <w:r w:rsidRPr="00F31A24">
        <w:rPr>
          <w:rFonts w:ascii="Times New Roman" w:hAnsi="Times New Roman" w:cs="Times New Roman"/>
        </w:rPr>
        <w:t xml:space="preserve">, </w:t>
      </w:r>
      <w:proofErr w:type="spellStart"/>
      <w:r w:rsidRPr="00F31A24">
        <w:rPr>
          <w:rFonts w:ascii="Times New Roman" w:hAnsi="Times New Roman" w:cs="Times New Roman"/>
        </w:rPr>
        <w:t>Plantationocene</w:t>
      </w:r>
      <w:proofErr w:type="spellEnd"/>
      <w:r w:rsidRPr="00F31A24">
        <w:rPr>
          <w:rFonts w:ascii="Times New Roman" w:hAnsi="Times New Roman" w:cs="Times New Roman"/>
        </w:rPr>
        <w:t xml:space="preserve">, </w:t>
      </w:r>
      <w:proofErr w:type="spellStart"/>
      <w:r w:rsidRPr="00F31A24">
        <w:rPr>
          <w:rFonts w:ascii="Times New Roman" w:hAnsi="Times New Roman" w:cs="Times New Roman"/>
        </w:rPr>
        <w:t>Chthulucene</w:t>
      </w:r>
      <w:proofErr w:type="spellEnd"/>
      <w:r w:rsidRPr="00F31A24">
        <w:rPr>
          <w:rFonts w:ascii="Times New Roman" w:hAnsi="Times New Roman" w:cs="Times New Roman"/>
        </w:rPr>
        <w:t>: Making Kin</w:t>
      </w:r>
      <w:r>
        <w:rPr>
          <w:rFonts w:ascii="Times New Roman" w:hAnsi="Times New Roman" w:cs="Times New Roman"/>
        </w:rPr>
        <w:t>.</w:t>
      </w:r>
      <w:r w:rsidRPr="00F31A24">
        <w:rPr>
          <w:rFonts w:ascii="Times New Roman" w:hAnsi="Times New Roman" w:cs="Times New Roman"/>
        </w:rPr>
        <w:t xml:space="preserve">” </w:t>
      </w:r>
      <w:r w:rsidRPr="00AF4D68">
        <w:rPr>
          <w:rFonts w:ascii="Times New Roman" w:hAnsi="Times New Roman" w:cs="Times New Roman"/>
          <w:i/>
          <w:iCs/>
        </w:rPr>
        <w:t>Multitudes</w:t>
      </w:r>
      <w:r w:rsidRPr="00F31A24">
        <w:rPr>
          <w:rFonts w:ascii="Times New Roman" w:hAnsi="Times New Roman" w:cs="Times New Roman"/>
        </w:rPr>
        <w:t xml:space="preserve"> 65 (2017).</w:t>
      </w:r>
    </w:p>
    <w:p w14:paraId="2555E9B3" w14:textId="77777777" w:rsidR="00C82053" w:rsidRDefault="00C82053" w:rsidP="00F31A24">
      <w:pPr>
        <w:spacing w:line="276" w:lineRule="auto"/>
        <w:rPr>
          <w:rFonts w:ascii="Times New Roman" w:hAnsi="Times New Roman" w:cs="Times New Roman"/>
        </w:rPr>
      </w:pPr>
      <w:r w:rsidRPr="00F31A24">
        <w:rPr>
          <w:rFonts w:ascii="Times New Roman" w:hAnsi="Times New Roman" w:cs="Times New Roman"/>
        </w:rPr>
        <w:t>Hopkins</w:t>
      </w:r>
      <w:r>
        <w:rPr>
          <w:rFonts w:ascii="Times New Roman" w:hAnsi="Times New Roman" w:cs="Times New Roman"/>
        </w:rPr>
        <w:t xml:space="preserve">, </w:t>
      </w:r>
      <w:r w:rsidRPr="00F31A24">
        <w:rPr>
          <w:rFonts w:ascii="Times New Roman" w:hAnsi="Times New Roman" w:cs="Times New Roman"/>
        </w:rPr>
        <w:t>Peter and Rachel Pain</w:t>
      </w:r>
      <w:r>
        <w:rPr>
          <w:rFonts w:ascii="Times New Roman" w:hAnsi="Times New Roman" w:cs="Times New Roman"/>
        </w:rPr>
        <w:t>.</w:t>
      </w:r>
      <w:r w:rsidRPr="00F31A24">
        <w:rPr>
          <w:rFonts w:ascii="Times New Roman" w:hAnsi="Times New Roman" w:cs="Times New Roman"/>
        </w:rPr>
        <w:t xml:space="preserve"> “Geographies of age: thinking relationally</w:t>
      </w:r>
      <w:r>
        <w:rPr>
          <w:rFonts w:ascii="Times New Roman" w:hAnsi="Times New Roman" w:cs="Times New Roman"/>
        </w:rPr>
        <w:t>.</w:t>
      </w:r>
      <w:r w:rsidRPr="00F31A24">
        <w:rPr>
          <w:rFonts w:ascii="Times New Roman" w:hAnsi="Times New Roman" w:cs="Times New Roman"/>
        </w:rPr>
        <w:t xml:space="preserve">” Area 39 (2007): </w:t>
      </w:r>
      <w:r>
        <w:rPr>
          <w:rFonts w:ascii="Times New Roman" w:hAnsi="Times New Roman" w:cs="Times New Roman"/>
        </w:rPr>
        <w:t>287-294</w:t>
      </w:r>
      <w:r w:rsidRPr="00F31A24">
        <w:rPr>
          <w:rFonts w:ascii="Times New Roman" w:hAnsi="Times New Roman" w:cs="Times New Roman"/>
        </w:rPr>
        <w:t>.</w:t>
      </w:r>
    </w:p>
    <w:p w14:paraId="6BF33731"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Kelly,</w:t>
      </w:r>
      <w:r>
        <w:rPr>
          <w:rFonts w:ascii="Times New Roman" w:hAnsi="Times New Roman" w:cs="Times New Roman"/>
        </w:rPr>
        <w:t xml:space="preserve"> </w:t>
      </w:r>
      <w:r w:rsidRPr="00F31A24">
        <w:rPr>
          <w:rFonts w:ascii="Times New Roman" w:hAnsi="Times New Roman" w:cs="Times New Roman"/>
        </w:rPr>
        <w:t>Jason</w:t>
      </w:r>
      <w:r>
        <w:rPr>
          <w:rFonts w:ascii="Times New Roman" w:hAnsi="Times New Roman" w:cs="Times New Roman"/>
        </w:rPr>
        <w:t>.</w:t>
      </w:r>
      <w:r w:rsidRPr="00F31A24">
        <w:rPr>
          <w:rFonts w:ascii="Times New Roman" w:hAnsi="Times New Roman" w:cs="Times New Roman"/>
        </w:rPr>
        <w:t xml:space="preserve"> </w:t>
      </w:r>
      <w:r w:rsidRPr="00AF4D68">
        <w:rPr>
          <w:rFonts w:ascii="Times New Roman" w:hAnsi="Times New Roman" w:cs="Times New Roman"/>
          <w:i/>
          <w:iCs/>
        </w:rPr>
        <w:t>Rivers of the Anthropocene</w:t>
      </w:r>
      <w:r>
        <w:rPr>
          <w:rFonts w:ascii="Times New Roman" w:hAnsi="Times New Roman" w:cs="Times New Roman"/>
        </w:rPr>
        <w:t xml:space="preserve">. </w:t>
      </w:r>
      <w:r w:rsidRPr="00F31A24">
        <w:rPr>
          <w:rFonts w:ascii="Times New Roman" w:hAnsi="Times New Roman" w:cs="Times New Roman"/>
        </w:rPr>
        <w:t>Oakland, California: University of California Press, 2018.</w:t>
      </w:r>
    </w:p>
    <w:p w14:paraId="6C99315C"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lastRenderedPageBreak/>
        <w:t>Kohn,</w:t>
      </w:r>
      <w:r>
        <w:rPr>
          <w:rFonts w:ascii="Times New Roman" w:hAnsi="Times New Roman" w:cs="Times New Roman"/>
        </w:rPr>
        <w:t xml:space="preserve"> </w:t>
      </w:r>
      <w:r w:rsidRPr="00F31A24">
        <w:rPr>
          <w:rFonts w:ascii="Times New Roman" w:hAnsi="Times New Roman" w:cs="Times New Roman"/>
        </w:rPr>
        <w:t>Eduardo</w:t>
      </w:r>
      <w:r>
        <w:rPr>
          <w:rFonts w:ascii="Times New Roman" w:hAnsi="Times New Roman" w:cs="Times New Roman"/>
        </w:rPr>
        <w:t>.</w:t>
      </w:r>
      <w:r w:rsidRPr="00F31A24">
        <w:rPr>
          <w:rFonts w:ascii="Times New Roman" w:hAnsi="Times New Roman" w:cs="Times New Roman"/>
        </w:rPr>
        <w:t xml:space="preserve"> </w:t>
      </w:r>
      <w:r w:rsidRPr="002D254C">
        <w:rPr>
          <w:rFonts w:ascii="Times New Roman" w:hAnsi="Times New Roman" w:cs="Times New Roman"/>
          <w:i/>
          <w:iCs/>
        </w:rPr>
        <w:t>How Forests Think: Toward an Anthropology Beyond the Human</w:t>
      </w:r>
      <w:r>
        <w:rPr>
          <w:rFonts w:ascii="Times New Roman" w:hAnsi="Times New Roman" w:cs="Times New Roman"/>
        </w:rPr>
        <w:t xml:space="preserve">. </w:t>
      </w:r>
      <w:r w:rsidRPr="00F31A24">
        <w:rPr>
          <w:rFonts w:ascii="Times New Roman" w:hAnsi="Times New Roman" w:cs="Times New Roman"/>
        </w:rPr>
        <w:t>Berkeley: University of California Press, 2013.</w:t>
      </w:r>
    </w:p>
    <w:p w14:paraId="4C077940" w14:textId="77777777" w:rsidR="00C82053" w:rsidRDefault="00C82053" w:rsidP="00F31A24">
      <w:pPr>
        <w:spacing w:line="276" w:lineRule="auto"/>
        <w:rPr>
          <w:rFonts w:ascii="Times New Roman" w:hAnsi="Times New Roman" w:cs="Times New Roman"/>
        </w:rPr>
      </w:pPr>
      <w:proofErr w:type="spellStart"/>
      <w:r w:rsidRPr="00F31A24">
        <w:rPr>
          <w:rFonts w:ascii="Times New Roman" w:hAnsi="Times New Roman" w:cs="Times New Roman"/>
        </w:rPr>
        <w:t>Kuo</w:t>
      </w:r>
      <w:proofErr w:type="spellEnd"/>
      <w:r w:rsidRPr="00F31A24">
        <w:rPr>
          <w:rFonts w:ascii="Times New Roman" w:hAnsi="Times New Roman" w:cs="Times New Roman"/>
        </w:rPr>
        <w:t>,</w:t>
      </w:r>
      <w:r>
        <w:rPr>
          <w:rFonts w:ascii="Times New Roman" w:hAnsi="Times New Roman" w:cs="Times New Roman"/>
        </w:rPr>
        <w:t xml:space="preserve"> </w:t>
      </w:r>
      <w:r w:rsidRPr="00F31A24">
        <w:rPr>
          <w:rFonts w:ascii="Times New Roman" w:hAnsi="Times New Roman" w:cs="Times New Roman"/>
        </w:rPr>
        <w:t>Frances</w:t>
      </w:r>
      <w:r>
        <w:rPr>
          <w:rFonts w:ascii="Times New Roman" w:hAnsi="Times New Roman" w:cs="Times New Roman"/>
        </w:rPr>
        <w:t>.</w:t>
      </w:r>
      <w:r w:rsidRPr="00F31A24">
        <w:rPr>
          <w:rFonts w:ascii="Times New Roman" w:hAnsi="Times New Roman" w:cs="Times New Roman"/>
        </w:rPr>
        <w:t xml:space="preserve"> “Nature-Deficit Disorder: Evidence, Dosage, and Treatment</w:t>
      </w:r>
      <w:r>
        <w:rPr>
          <w:rFonts w:ascii="Times New Roman" w:hAnsi="Times New Roman" w:cs="Times New Roman"/>
        </w:rPr>
        <w:t>.</w:t>
      </w:r>
      <w:r w:rsidRPr="00F31A24">
        <w:rPr>
          <w:rFonts w:ascii="Times New Roman" w:hAnsi="Times New Roman" w:cs="Times New Roman"/>
        </w:rPr>
        <w:t xml:space="preserve">” </w:t>
      </w:r>
      <w:r w:rsidRPr="00973D28">
        <w:rPr>
          <w:rFonts w:ascii="Times New Roman" w:hAnsi="Times New Roman" w:cs="Times New Roman"/>
          <w:i/>
          <w:iCs/>
        </w:rPr>
        <w:t>Journal of Policy Research in Tourism, Leisure and Events</w:t>
      </w:r>
      <w:r w:rsidRPr="00F31A24">
        <w:rPr>
          <w:rFonts w:ascii="Times New Roman" w:hAnsi="Times New Roman" w:cs="Times New Roman"/>
        </w:rPr>
        <w:t xml:space="preserve"> 5 (2013</w:t>
      </w:r>
      <w:r>
        <w:rPr>
          <w:rFonts w:ascii="Times New Roman" w:hAnsi="Times New Roman" w:cs="Times New Roman"/>
        </w:rPr>
        <w:t>)</w:t>
      </w:r>
      <w:r w:rsidRPr="00F31A24">
        <w:rPr>
          <w:rFonts w:ascii="Times New Roman" w:hAnsi="Times New Roman" w:cs="Times New Roman"/>
        </w:rPr>
        <w:t>.</w:t>
      </w:r>
    </w:p>
    <w:p w14:paraId="55C37C91"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Locke,</w:t>
      </w:r>
      <w:r>
        <w:rPr>
          <w:rFonts w:ascii="Times New Roman" w:hAnsi="Times New Roman" w:cs="Times New Roman"/>
        </w:rPr>
        <w:t xml:space="preserve"> </w:t>
      </w:r>
      <w:r w:rsidRPr="00F31A24">
        <w:rPr>
          <w:rFonts w:ascii="Times New Roman" w:hAnsi="Times New Roman" w:cs="Times New Roman"/>
        </w:rPr>
        <w:t>John</w:t>
      </w:r>
      <w:r>
        <w:rPr>
          <w:rFonts w:ascii="Times New Roman" w:hAnsi="Times New Roman" w:cs="Times New Roman"/>
        </w:rPr>
        <w:t>.</w:t>
      </w:r>
      <w:r w:rsidRPr="00F31A24">
        <w:rPr>
          <w:rFonts w:ascii="Times New Roman" w:hAnsi="Times New Roman" w:cs="Times New Roman"/>
        </w:rPr>
        <w:t xml:space="preserve"> </w:t>
      </w:r>
      <w:r w:rsidRPr="00545C40">
        <w:rPr>
          <w:rFonts w:ascii="Times New Roman" w:hAnsi="Times New Roman" w:cs="Times New Roman"/>
          <w:i/>
          <w:iCs/>
        </w:rPr>
        <w:t>An Essay Concerning Humane Understanding</w:t>
      </w:r>
      <w:r>
        <w:rPr>
          <w:rFonts w:ascii="Times New Roman" w:hAnsi="Times New Roman" w:cs="Times New Roman"/>
        </w:rPr>
        <w:t xml:space="preserve">. </w:t>
      </w:r>
      <w:r w:rsidRPr="00F31A24">
        <w:rPr>
          <w:rFonts w:ascii="Times New Roman" w:hAnsi="Times New Roman" w:cs="Times New Roman"/>
        </w:rPr>
        <w:t>London: Thomas Basset, 1689</w:t>
      </w:r>
      <w:r>
        <w:rPr>
          <w:rFonts w:ascii="Times New Roman" w:hAnsi="Times New Roman" w:cs="Times New Roman"/>
        </w:rPr>
        <w:t>.</w:t>
      </w:r>
    </w:p>
    <w:p w14:paraId="478EAB3B"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Maitland,</w:t>
      </w:r>
      <w:r>
        <w:rPr>
          <w:rFonts w:ascii="Times New Roman" w:hAnsi="Times New Roman" w:cs="Times New Roman"/>
        </w:rPr>
        <w:t xml:space="preserve"> </w:t>
      </w:r>
      <w:r w:rsidRPr="00F31A24">
        <w:rPr>
          <w:rFonts w:ascii="Times New Roman" w:hAnsi="Times New Roman" w:cs="Times New Roman"/>
        </w:rPr>
        <w:t>Sara</w:t>
      </w:r>
      <w:r>
        <w:rPr>
          <w:rFonts w:ascii="Times New Roman" w:hAnsi="Times New Roman" w:cs="Times New Roman"/>
        </w:rPr>
        <w:t>.</w:t>
      </w:r>
      <w:r w:rsidRPr="00F31A24">
        <w:rPr>
          <w:rFonts w:ascii="Times New Roman" w:hAnsi="Times New Roman" w:cs="Times New Roman"/>
        </w:rPr>
        <w:t xml:space="preserve"> </w:t>
      </w:r>
      <w:r w:rsidRPr="00BE61A1">
        <w:rPr>
          <w:rFonts w:ascii="Times New Roman" w:hAnsi="Times New Roman" w:cs="Times New Roman"/>
          <w:i/>
          <w:iCs/>
        </w:rPr>
        <w:t xml:space="preserve">Gossip From the Forest:  the tangled roots of our forests and </w:t>
      </w:r>
      <w:proofErr w:type="spellStart"/>
      <w:r w:rsidRPr="00BE61A1">
        <w:rPr>
          <w:rFonts w:ascii="Times New Roman" w:hAnsi="Times New Roman" w:cs="Times New Roman"/>
          <w:i/>
          <w:iCs/>
        </w:rPr>
        <w:t>fairytales</w:t>
      </w:r>
      <w:proofErr w:type="spellEnd"/>
      <w:r>
        <w:rPr>
          <w:rFonts w:ascii="Times New Roman" w:hAnsi="Times New Roman" w:cs="Times New Roman"/>
        </w:rPr>
        <w:t xml:space="preserve">. </w:t>
      </w:r>
      <w:r w:rsidRPr="00F31A24">
        <w:rPr>
          <w:rFonts w:ascii="Times New Roman" w:hAnsi="Times New Roman" w:cs="Times New Roman"/>
        </w:rPr>
        <w:t xml:space="preserve">London: </w:t>
      </w:r>
      <w:proofErr w:type="spellStart"/>
      <w:r w:rsidRPr="00F31A24">
        <w:rPr>
          <w:rFonts w:ascii="Times New Roman" w:hAnsi="Times New Roman" w:cs="Times New Roman"/>
        </w:rPr>
        <w:t>Granta</w:t>
      </w:r>
      <w:proofErr w:type="spellEnd"/>
      <w:r w:rsidRPr="00F31A24">
        <w:rPr>
          <w:rFonts w:ascii="Times New Roman" w:hAnsi="Times New Roman" w:cs="Times New Roman"/>
        </w:rPr>
        <w:t>, 2013.</w:t>
      </w:r>
    </w:p>
    <w:p w14:paraId="474BC722" w14:textId="77777777" w:rsidR="00C82053" w:rsidRPr="00F31A24" w:rsidRDefault="00C82053" w:rsidP="00F31A24">
      <w:pPr>
        <w:spacing w:line="276" w:lineRule="auto"/>
        <w:rPr>
          <w:rFonts w:ascii="Times New Roman" w:hAnsi="Times New Roman" w:cs="Times New Roman"/>
        </w:rPr>
      </w:pPr>
      <w:proofErr w:type="spellStart"/>
      <w:r w:rsidRPr="00F31A24">
        <w:rPr>
          <w:rFonts w:ascii="Times New Roman" w:hAnsi="Times New Roman" w:cs="Times New Roman"/>
        </w:rPr>
        <w:t>Malm</w:t>
      </w:r>
      <w:proofErr w:type="spellEnd"/>
      <w:r>
        <w:rPr>
          <w:rFonts w:ascii="Times New Roman" w:hAnsi="Times New Roman" w:cs="Times New Roman"/>
        </w:rPr>
        <w:t xml:space="preserve">, </w:t>
      </w:r>
      <w:r w:rsidRPr="00F31A24">
        <w:rPr>
          <w:rFonts w:ascii="Times New Roman" w:hAnsi="Times New Roman" w:cs="Times New Roman"/>
        </w:rPr>
        <w:t xml:space="preserve">Andreas and Alf </w:t>
      </w:r>
      <w:proofErr w:type="spellStart"/>
      <w:r w:rsidRPr="00F31A24">
        <w:rPr>
          <w:rFonts w:ascii="Times New Roman" w:hAnsi="Times New Roman" w:cs="Times New Roman"/>
        </w:rPr>
        <w:t>Hornborg</w:t>
      </w:r>
      <w:proofErr w:type="spellEnd"/>
      <w:r>
        <w:rPr>
          <w:rFonts w:ascii="Times New Roman" w:hAnsi="Times New Roman" w:cs="Times New Roman"/>
        </w:rPr>
        <w:t>.</w:t>
      </w:r>
      <w:r w:rsidRPr="00F31A24">
        <w:rPr>
          <w:rFonts w:ascii="Times New Roman" w:hAnsi="Times New Roman" w:cs="Times New Roman"/>
        </w:rPr>
        <w:t xml:space="preserve"> “The Geology of Mankind? A Critique of the Anthropocene Narrative</w:t>
      </w:r>
      <w:r>
        <w:rPr>
          <w:rFonts w:ascii="Times New Roman" w:hAnsi="Times New Roman" w:cs="Times New Roman"/>
        </w:rPr>
        <w:t>.</w:t>
      </w:r>
      <w:r w:rsidRPr="00F31A24">
        <w:rPr>
          <w:rFonts w:ascii="Times New Roman" w:hAnsi="Times New Roman" w:cs="Times New Roman"/>
        </w:rPr>
        <w:t xml:space="preserve">” </w:t>
      </w:r>
      <w:r w:rsidRPr="002D254C">
        <w:rPr>
          <w:rFonts w:ascii="Times New Roman" w:hAnsi="Times New Roman" w:cs="Times New Roman"/>
          <w:i/>
          <w:iCs/>
        </w:rPr>
        <w:t>The Anthropocene Review</w:t>
      </w:r>
      <w:r w:rsidRPr="00F31A24">
        <w:rPr>
          <w:rFonts w:ascii="Times New Roman" w:hAnsi="Times New Roman" w:cs="Times New Roman"/>
        </w:rPr>
        <w:t xml:space="preserve"> 1 (2014).</w:t>
      </w:r>
    </w:p>
    <w:p w14:paraId="41232EE1"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Malone,</w:t>
      </w:r>
      <w:r>
        <w:rPr>
          <w:rFonts w:ascii="Times New Roman" w:hAnsi="Times New Roman" w:cs="Times New Roman"/>
        </w:rPr>
        <w:t xml:space="preserve"> </w:t>
      </w:r>
      <w:r w:rsidRPr="00F31A24">
        <w:rPr>
          <w:rFonts w:ascii="Times New Roman" w:hAnsi="Times New Roman" w:cs="Times New Roman"/>
        </w:rPr>
        <w:t>Karen</w:t>
      </w:r>
      <w:r>
        <w:rPr>
          <w:rFonts w:ascii="Times New Roman" w:hAnsi="Times New Roman" w:cs="Times New Roman"/>
        </w:rPr>
        <w:t>.</w:t>
      </w:r>
      <w:r w:rsidRPr="00F31A24">
        <w:rPr>
          <w:rFonts w:ascii="Times New Roman" w:hAnsi="Times New Roman" w:cs="Times New Roman"/>
        </w:rPr>
        <w:t xml:space="preserve"> </w:t>
      </w:r>
      <w:r w:rsidRPr="00B00B95">
        <w:rPr>
          <w:rFonts w:ascii="Times New Roman" w:hAnsi="Times New Roman" w:cs="Times New Roman"/>
          <w:i/>
          <w:iCs/>
        </w:rPr>
        <w:t>Children in the Anthropocene: Rethinking Sustainability and Child Friendliness in Cities</w:t>
      </w:r>
      <w:r>
        <w:rPr>
          <w:rFonts w:ascii="Times New Roman" w:hAnsi="Times New Roman" w:cs="Times New Roman"/>
        </w:rPr>
        <w:t xml:space="preserve">. </w:t>
      </w:r>
      <w:r w:rsidRPr="00F31A24">
        <w:rPr>
          <w:rFonts w:ascii="Times New Roman" w:hAnsi="Times New Roman" w:cs="Times New Roman"/>
        </w:rPr>
        <w:t>London: Palgrave Macmillan, 2018.</w:t>
      </w:r>
    </w:p>
    <w:p w14:paraId="7DCA4B2C"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Moore,</w:t>
      </w:r>
      <w:r>
        <w:rPr>
          <w:rFonts w:ascii="Times New Roman" w:hAnsi="Times New Roman" w:cs="Times New Roman"/>
        </w:rPr>
        <w:t xml:space="preserve"> </w:t>
      </w:r>
      <w:r w:rsidRPr="00F31A24">
        <w:rPr>
          <w:rFonts w:ascii="Times New Roman" w:hAnsi="Times New Roman" w:cs="Times New Roman"/>
        </w:rPr>
        <w:t>Jason</w:t>
      </w:r>
      <w:r>
        <w:rPr>
          <w:rFonts w:ascii="Times New Roman" w:hAnsi="Times New Roman" w:cs="Times New Roman"/>
        </w:rPr>
        <w:t>.</w:t>
      </w:r>
      <w:r w:rsidRPr="00F31A24">
        <w:rPr>
          <w:rFonts w:ascii="Times New Roman" w:hAnsi="Times New Roman" w:cs="Times New Roman"/>
        </w:rPr>
        <w:t xml:space="preserve"> “The </w:t>
      </w:r>
      <w:proofErr w:type="spellStart"/>
      <w:r w:rsidRPr="00F31A24">
        <w:rPr>
          <w:rFonts w:ascii="Times New Roman" w:hAnsi="Times New Roman" w:cs="Times New Roman"/>
        </w:rPr>
        <w:t>Capitalocene</w:t>
      </w:r>
      <w:proofErr w:type="spellEnd"/>
      <w:r w:rsidRPr="00F31A24">
        <w:rPr>
          <w:rFonts w:ascii="Times New Roman" w:hAnsi="Times New Roman" w:cs="Times New Roman"/>
        </w:rPr>
        <w:t>, Part I: On the Nature and Origins of Our Ecological Crisis</w:t>
      </w:r>
      <w:r>
        <w:rPr>
          <w:rFonts w:ascii="Times New Roman" w:hAnsi="Times New Roman" w:cs="Times New Roman"/>
        </w:rPr>
        <w:t>.</w:t>
      </w:r>
      <w:r w:rsidRPr="00F31A24">
        <w:rPr>
          <w:rFonts w:ascii="Times New Roman" w:hAnsi="Times New Roman" w:cs="Times New Roman"/>
        </w:rPr>
        <w:t xml:space="preserve">” </w:t>
      </w:r>
      <w:r w:rsidRPr="00D34AA6">
        <w:rPr>
          <w:rFonts w:ascii="Times New Roman" w:hAnsi="Times New Roman" w:cs="Times New Roman"/>
          <w:i/>
          <w:iCs/>
        </w:rPr>
        <w:t>Journal of Peasant Studies</w:t>
      </w:r>
      <w:r w:rsidRPr="00F31A24">
        <w:rPr>
          <w:rFonts w:ascii="Times New Roman" w:hAnsi="Times New Roman" w:cs="Times New Roman"/>
        </w:rPr>
        <w:t xml:space="preserve"> 44 (2017).</w:t>
      </w:r>
    </w:p>
    <w:p w14:paraId="54B2C43B"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Nxumalo,</w:t>
      </w:r>
      <w:r>
        <w:rPr>
          <w:rFonts w:ascii="Times New Roman" w:hAnsi="Times New Roman" w:cs="Times New Roman"/>
        </w:rPr>
        <w:t xml:space="preserve"> </w:t>
      </w:r>
      <w:r w:rsidRPr="00F31A24">
        <w:rPr>
          <w:rFonts w:ascii="Times New Roman" w:hAnsi="Times New Roman" w:cs="Times New Roman"/>
        </w:rPr>
        <w:t>Fikile</w:t>
      </w:r>
      <w:r>
        <w:rPr>
          <w:rFonts w:ascii="Times New Roman" w:hAnsi="Times New Roman" w:cs="Times New Roman"/>
        </w:rPr>
        <w:t>.</w:t>
      </w:r>
      <w:r w:rsidRPr="00F31A24">
        <w:rPr>
          <w:rFonts w:ascii="Times New Roman" w:hAnsi="Times New Roman" w:cs="Times New Roman"/>
        </w:rPr>
        <w:t xml:space="preserve"> “Situating Indigenous and Black Childhoods in the Anthropocene</w:t>
      </w:r>
      <w:r>
        <w:rPr>
          <w:rFonts w:ascii="Times New Roman" w:hAnsi="Times New Roman" w:cs="Times New Roman"/>
        </w:rPr>
        <w:t>.</w:t>
      </w:r>
      <w:r w:rsidRPr="00F31A24">
        <w:rPr>
          <w:rFonts w:ascii="Times New Roman" w:hAnsi="Times New Roman" w:cs="Times New Roman"/>
        </w:rPr>
        <w:t xml:space="preserve">” </w:t>
      </w:r>
      <w:r>
        <w:rPr>
          <w:rFonts w:ascii="Times New Roman" w:hAnsi="Times New Roman" w:cs="Times New Roman"/>
        </w:rPr>
        <w:t>I</w:t>
      </w:r>
      <w:r w:rsidRPr="00F31A24">
        <w:rPr>
          <w:rFonts w:ascii="Times New Roman" w:hAnsi="Times New Roman" w:cs="Times New Roman"/>
        </w:rPr>
        <w:t xml:space="preserve">n </w:t>
      </w:r>
      <w:r w:rsidRPr="00CD731E">
        <w:rPr>
          <w:rFonts w:ascii="Times New Roman" w:hAnsi="Times New Roman" w:cs="Times New Roman"/>
          <w:i/>
          <w:iCs/>
        </w:rPr>
        <w:t>Research Handbook on Childhood Nature</w:t>
      </w:r>
      <w:r>
        <w:rPr>
          <w:rFonts w:ascii="Times New Roman" w:hAnsi="Times New Roman" w:cs="Times New Roman"/>
        </w:rPr>
        <w:t>.</w:t>
      </w:r>
      <w:r w:rsidRPr="00F31A24">
        <w:rPr>
          <w:rFonts w:ascii="Times New Roman" w:hAnsi="Times New Roman" w:cs="Times New Roman"/>
        </w:rPr>
        <w:t xml:space="preserve"> </w:t>
      </w:r>
      <w:r>
        <w:rPr>
          <w:rFonts w:ascii="Times New Roman" w:hAnsi="Times New Roman" w:cs="Times New Roman"/>
        </w:rPr>
        <w:t>E</w:t>
      </w:r>
      <w:r w:rsidRPr="00F31A24">
        <w:rPr>
          <w:rFonts w:ascii="Times New Roman" w:hAnsi="Times New Roman" w:cs="Times New Roman"/>
        </w:rPr>
        <w:t>d</w:t>
      </w:r>
      <w:r>
        <w:rPr>
          <w:rFonts w:ascii="Times New Roman" w:hAnsi="Times New Roman" w:cs="Times New Roman"/>
        </w:rPr>
        <w:t>ited by</w:t>
      </w:r>
      <w:r w:rsidRPr="00F31A24">
        <w:rPr>
          <w:rFonts w:ascii="Times New Roman" w:hAnsi="Times New Roman" w:cs="Times New Roman"/>
        </w:rPr>
        <w:t xml:space="preserve"> Amy Cutter-Mackenzie-Knowles et al.</w:t>
      </w:r>
      <w:r>
        <w:rPr>
          <w:rFonts w:ascii="Times New Roman" w:hAnsi="Times New Roman" w:cs="Times New Roman"/>
        </w:rPr>
        <w:t xml:space="preserve"> </w:t>
      </w:r>
      <w:r w:rsidRPr="00F31A24">
        <w:rPr>
          <w:rFonts w:ascii="Times New Roman" w:hAnsi="Times New Roman" w:cs="Times New Roman"/>
        </w:rPr>
        <w:t>New York: Springer, 2020.</w:t>
      </w:r>
    </w:p>
    <w:p w14:paraId="691EDEFA"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 xml:space="preserve">  </w:t>
      </w:r>
      <w:proofErr w:type="spellStart"/>
      <w:r w:rsidRPr="00F31A24">
        <w:rPr>
          <w:rFonts w:ascii="Times New Roman" w:hAnsi="Times New Roman" w:cs="Times New Roman"/>
        </w:rPr>
        <w:t>Plumwood</w:t>
      </w:r>
      <w:proofErr w:type="spellEnd"/>
      <w:r w:rsidRPr="00F31A24">
        <w:rPr>
          <w:rFonts w:ascii="Times New Roman" w:hAnsi="Times New Roman" w:cs="Times New Roman"/>
        </w:rPr>
        <w:t>,</w:t>
      </w:r>
      <w:r>
        <w:rPr>
          <w:rFonts w:ascii="Times New Roman" w:hAnsi="Times New Roman" w:cs="Times New Roman"/>
        </w:rPr>
        <w:t xml:space="preserve"> </w:t>
      </w:r>
      <w:r w:rsidRPr="00F31A24">
        <w:rPr>
          <w:rFonts w:ascii="Times New Roman" w:hAnsi="Times New Roman" w:cs="Times New Roman"/>
        </w:rPr>
        <w:t>Val</w:t>
      </w:r>
      <w:r>
        <w:rPr>
          <w:rFonts w:ascii="Times New Roman" w:hAnsi="Times New Roman" w:cs="Times New Roman"/>
        </w:rPr>
        <w:t>.</w:t>
      </w:r>
      <w:r w:rsidRPr="00F31A24">
        <w:rPr>
          <w:rFonts w:ascii="Times New Roman" w:hAnsi="Times New Roman" w:cs="Times New Roman"/>
        </w:rPr>
        <w:t xml:space="preserve"> </w:t>
      </w:r>
      <w:r w:rsidRPr="009154C8">
        <w:rPr>
          <w:rFonts w:ascii="Times New Roman" w:hAnsi="Times New Roman" w:cs="Times New Roman"/>
          <w:i/>
          <w:iCs/>
        </w:rPr>
        <w:t>Feminism and the Mastery of Nature</w:t>
      </w:r>
      <w:r>
        <w:rPr>
          <w:rFonts w:ascii="Times New Roman" w:hAnsi="Times New Roman" w:cs="Times New Roman"/>
        </w:rPr>
        <w:t>.</w:t>
      </w:r>
      <w:r w:rsidRPr="00F31A24">
        <w:rPr>
          <w:rFonts w:ascii="Times New Roman" w:hAnsi="Times New Roman" w:cs="Times New Roman"/>
        </w:rPr>
        <w:t xml:space="preserve"> London: Routledge, 1993.</w:t>
      </w:r>
    </w:p>
    <w:p w14:paraId="605D0AF7" w14:textId="77777777" w:rsidR="00C82053" w:rsidRPr="00F31A24" w:rsidRDefault="00C82053" w:rsidP="00F31A24">
      <w:pPr>
        <w:spacing w:line="276" w:lineRule="auto"/>
        <w:rPr>
          <w:rFonts w:ascii="Times New Roman" w:hAnsi="Times New Roman" w:cs="Times New Roman"/>
        </w:rPr>
      </w:pPr>
      <w:proofErr w:type="spellStart"/>
      <w:r w:rsidRPr="00F31A24">
        <w:rPr>
          <w:rFonts w:ascii="Times New Roman" w:hAnsi="Times New Roman" w:cs="Times New Roman"/>
        </w:rPr>
        <w:t>Prout</w:t>
      </w:r>
      <w:proofErr w:type="spellEnd"/>
      <w:r w:rsidRPr="00F31A24">
        <w:rPr>
          <w:rFonts w:ascii="Times New Roman" w:hAnsi="Times New Roman" w:cs="Times New Roman"/>
        </w:rPr>
        <w:t>,</w:t>
      </w:r>
      <w:r>
        <w:rPr>
          <w:rFonts w:ascii="Times New Roman" w:hAnsi="Times New Roman" w:cs="Times New Roman"/>
        </w:rPr>
        <w:t xml:space="preserve"> </w:t>
      </w:r>
      <w:r w:rsidRPr="00F31A24">
        <w:rPr>
          <w:rFonts w:ascii="Times New Roman" w:hAnsi="Times New Roman" w:cs="Times New Roman"/>
        </w:rPr>
        <w:t>Alan</w:t>
      </w:r>
      <w:r>
        <w:rPr>
          <w:rFonts w:ascii="Times New Roman" w:hAnsi="Times New Roman" w:cs="Times New Roman"/>
        </w:rPr>
        <w:t>.</w:t>
      </w:r>
      <w:r w:rsidRPr="00F31A24">
        <w:rPr>
          <w:rFonts w:ascii="Times New Roman" w:hAnsi="Times New Roman" w:cs="Times New Roman"/>
        </w:rPr>
        <w:t xml:space="preserve"> </w:t>
      </w:r>
      <w:r w:rsidRPr="00927C95">
        <w:rPr>
          <w:rFonts w:ascii="Times New Roman" w:hAnsi="Times New Roman" w:cs="Times New Roman"/>
          <w:i/>
          <w:iCs/>
        </w:rPr>
        <w:t>Constructing and Reconstructing Childhood</w:t>
      </w:r>
      <w:r>
        <w:rPr>
          <w:rFonts w:ascii="Times New Roman" w:hAnsi="Times New Roman" w:cs="Times New Roman"/>
        </w:rPr>
        <w:t xml:space="preserve">. </w:t>
      </w:r>
      <w:r w:rsidRPr="00F31A24">
        <w:rPr>
          <w:rFonts w:ascii="Times New Roman" w:hAnsi="Times New Roman" w:cs="Times New Roman"/>
        </w:rPr>
        <w:t>Oxford: Routledge, 1997.</w:t>
      </w:r>
    </w:p>
    <w:p w14:paraId="6C7A8004" w14:textId="77777777" w:rsidR="00C82053" w:rsidRPr="00F31A24" w:rsidRDefault="00C82053" w:rsidP="00F31A24">
      <w:pPr>
        <w:spacing w:line="276" w:lineRule="auto"/>
        <w:rPr>
          <w:rFonts w:ascii="Times New Roman" w:hAnsi="Times New Roman" w:cs="Times New Roman"/>
        </w:rPr>
      </w:pPr>
      <w:r>
        <w:rPr>
          <w:rFonts w:ascii="Times New Roman" w:hAnsi="Times New Roman" w:cs="Times New Roman"/>
        </w:rPr>
        <w:t xml:space="preserve">Purdy, Jedediah. </w:t>
      </w:r>
      <w:r w:rsidRPr="00F31A24">
        <w:rPr>
          <w:rFonts w:ascii="Times New Roman" w:hAnsi="Times New Roman" w:cs="Times New Roman"/>
        </w:rPr>
        <w:t>“Anthropocene Fever</w:t>
      </w:r>
      <w:r>
        <w:rPr>
          <w:rFonts w:ascii="Times New Roman" w:hAnsi="Times New Roman" w:cs="Times New Roman"/>
        </w:rPr>
        <w:t>.</w:t>
      </w:r>
      <w:r w:rsidRPr="00F31A24">
        <w:rPr>
          <w:rFonts w:ascii="Times New Roman" w:hAnsi="Times New Roman" w:cs="Times New Roman"/>
        </w:rPr>
        <w:t>”</w:t>
      </w:r>
      <w:r>
        <w:rPr>
          <w:rFonts w:ascii="Times New Roman" w:hAnsi="Times New Roman" w:cs="Times New Roman"/>
        </w:rPr>
        <w:t xml:space="preserve"> A</w:t>
      </w:r>
      <w:r w:rsidRPr="00F31A24">
        <w:rPr>
          <w:rFonts w:ascii="Times New Roman" w:hAnsi="Times New Roman" w:cs="Times New Roman"/>
        </w:rPr>
        <w:t>ccessed 20 April 2020</w:t>
      </w:r>
      <w:r>
        <w:rPr>
          <w:rFonts w:ascii="Times New Roman" w:hAnsi="Times New Roman" w:cs="Times New Roman"/>
        </w:rPr>
        <w:t xml:space="preserve">. </w:t>
      </w:r>
      <w:r w:rsidRPr="00F31A24">
        <w:rPr>
          <w:rFonts w:ascii="Times New Roman" w:hAnsi="Times New Roman" w:cs="Times New Roman"/>
        </w:rPr>
        <w:t>https://aeon.co/essays/should-we-be-suspicious-of-the-anthropocene-idea.</w:t>
      </w:r>
    </w:p>
    <w:p w14:paraId="328E14F0" w14:textId="77777777" w:rsidR="00C82053" w:rsidRPr="00F31A24" w:rsidRDefault="00C82053" w:rsidP="00F31A24">
      <w:pPr>
        <w:spacing w:line="276" w:lineRule="auto"/>
        <w:rPr>
          <w:rFonts w:ascii="Times New Roman" w:hAnsi="Times New Roman" w:cs="Times New Roman"/>
        </w:rPr>
      </w:pPr>
      <w:proofErr w:type="spellStart"/>
      <w:r w:rsidRPr="00F31A24">
        <w:rPr>
          <w:rFonts w:ascii="Times New Roman" w:hAnsi="Times New Roman" w:cs="Times New Roman"/>
        </w:rPr>
        <w:t>Riney-Kehrberg</w:t>
      </w:r>
      <w:proofErr w:type="spellEnd"/>
      <w:r w:rsidRPr="00F31A24">
        <w:rPr>
          <w:rFonts w:ascii="Times New Roman" w:hAnsi="Times New Roman" w:cs="Times New Roman"/>
        </w:rPr>
        <w:t>, Pamela</w:t>
      </w:r>
      <w:r>
        <w:rPr>
          <w:rFonts w:ascii="Times New Roman" w:hAnsi="Times New Roman" w:cs="Times New Roman"/>
        </w:rPr>
        <w:t xml:space="preserve">. </w:t>
      </w:r>
      <w:r w:rsidRPr="00973D28">
        <w:rPr>
          <w:rFonts w:ascii="Times New Roman" w:hAnsi="Times New Roman" w:cs="Times New Roman"/>
          <w:i/>
          <w:iCs/>
        </w:rPr>
        <w:t>The Nature of Childhood: An Environmental History of Growing Up in America Since 1865</w:t>
      </w:r>
      <w:r>
        <w:rPr>
          <w:rFonts w:ascii="Times New Roman" w:hAnsi="Times New Roman" w:cs="Times New Roman"/>
        </w:rPr>
        <w:t xml:space="preserve">. </w:t>
      </w:r>
      <w:r w:rsidRPr="00F31A24">
        <w:rPr>
          <w:rFonts w:ascii="Times New Roman" w:hAnsi="Times New Roman" w:cs="Times New Roman"/>
        </w:rPr>
        <w:t>Lawrence: University Press of Kansas, 2014.</w:t>
      </w:r>
    </w:p>
    <w:p w14:paraId="0FC5FBDB"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Rotherham, Ian</w:t>
      </w:r>
      <w:r>
        <w:rPr>
          <w:rFonts w:ascii="Times New Roman" w:hAnsi="Times New Roman" w:cs="Times New Roman"/>
        </w:rPr>
        <w:t xml:space="preserve">. </w:t>
      </w:r>
      <w:r w:rsidRPr="00B57874">
        <w:rPr>
          <w:rFonts w:ascii="Times New Roman" w:hAnsi="Times New Roman" w:cs="Times New Roman"/>
          <w:i/>
          <w:iCs/>
        </w:rPr>
        <w:t>Cultural Severance and The Environment</w:t>
      </w:r>
      <w:r>
        <w:rPr>
          <w:rFonts w:ascii="Times New Roman" w:hAnsi="Times New Roman" w:cs="Times New Roman"/>
        </w:rPr>
        <w:t xml:space="preserve">. </w:t>
      </w:r>
      <w:r w:rsidRPr="00F31A24">
        <w:rPr>
          <w:rFonts w:ascii="Times New Roman" w:hAnsi="Times New Roman" w:cs="Times New Roman"/>
        </w:rPr>
        <w:t>Dordrecht: Springer, 201</w:t>
      </w:r>
      <w:r>
        <w:rPr>
          <w:rFonts w:ascii="Times New Roman" w:hAnsi="Times New Roman" w:cs="Times New Roman"/>
        </w:rPr>
        <w:t>3</w:t>
      </w:r>
      <w:r w:rsidRPr="00F31A24">
        <w:rPr>
          <w:rFonts w:ascii="Times New Roman" w:hAnsi="Times New Roman" w:cs="Times New Roman"/>
        </w:rPr>
        <w:t>.</w:t>
      </w:r>
    </w:p>
    <w:p w14:paraId="395BAAAB"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Rousseau,</w:t>
      </w:r>
      <w:r>
        <w:rPr>
          <w:rFonts w:ascii="Times New Roman" w:hAnsi="Times New Roman" w:cs="Times New Roman"/>
        </w:rPr>
        <w:t xml:space="preserve"> </w:t>
      </w:r>
      <w:r w:rsidRPr="00F31A24">
        <w:rPr>
          <w:rFonts w:ascii="Times New Roman" w:hAnsi="Times New Roman" w:cs="Times New Roman"/>
        </w:rPr>
        <w:t>Jean-Jacques</w:t>
      </w:r>
      <w:r>
        <w:rPr>
          <w:rFonts w:ascii="Times New Roman" w:hAnsi="Times New Roman" w:cs="Times New Roman"/>
        </w:rPr>
        <w:t>.</w:t>
      </w:r>
      <w:r w:rsidRPr="00F31A24">
        <w:rPr>
          <w:rFonts w:ascii="Times New Roman" w:hAnsi="Times New Roman" w:cs="Times New Roman"/>
        </w:rPr>
        <w:t xml:space="preserve"> </w:t>
      </w:r>
      <w:proofErr w:type="spellStart"/>
      <w:r w:rsidRPr="00BE61A1">
        <w:rPr>
          <w:rFonts w:ascii="Times New Roman" w:hAnsi="Times New Roman" w:cs="Times New Roman"/>
          <w:i/>
          <w:iCs/>
        </w:rPr>
        <w:t>Emilius</w:t>
      </w:r>
      <w:proofErr w:type="spellEnd"/>
      <w:r w:rsidRPr="00BE61A1">
        <w:rPr>
          <w:rFonts w:ascii="Times New Roman" w:hAnsi="Times New Roman" w:cs="Times New Roman"/>
          <w:i/>
          <w:iCs/>
        </w:rPr>
        <w:t xml:space="preserve"> and Sophia, or, a New System of Education</w:t>
      </w:r>
      <w:r>
        <w:rPr>
          <w:rFonts w:ascii="Times New Roman" w:hAnsi="Times New Roman" w:cs="Times New Roman"/>
        </w:rPr>
        <w:t xml:space="preserve">. </w:t>
      </w:r>
      <w:r w:rsidRPr="00F31A24">
        <w:rPr>
          <w:rFonts w:ascii="Times New Roman" w:hAnsi="Times New Roman" w:cs="Times New Roman"/>
        </w:rPr>
        <w:t xml:space="preserve">London: T. Becket and P.A. de </w:t>
      </w:r>
      <w:proofErr w:type="spellStart"/>
      <w:r w:rsidRPr="00F31A24">
        <w:rPr>
          <w:rFonts w:ascii="Times New Roman" w:hAnsi="Times New Roman" w:cs="Times New Roman"/>
        </w:rPr>
        <w:t>Hondt</w:t>
      </w:r>
      <w:proofErr w:type="spellEnd"/>
      <w:r w:rsidRPr="00F31A24">
        <w:rPr>
          <w:rFonts w:ascii="Times New Roman" w:hAnsi="Times New Roman" w:cs="Times New Roman"/>
        </w:rPr>
        <w:t>, 1763</w:t>
      </w:r>
      <w:r>
        <w:rPr>
          <w:rFonts w:ascii="Times New Roman" w:hAnsi="Times New Roman" w:cs="Times New Roman"/>
        </w:rPr>
        <w:t>.</w:t>
      </w:r>
    </w:p>
    <w:p w14:paraId="0CAF3F1C"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Sheldon,</w:t>
      </w:r>
      <w:r>
        <w:rPr>
          <w:rFonts w:ascii="Times New Roman" w:hAnsi="Times New Roman" w:cs="Times New Roman"/>
        </w:rPr>
        <w:t xml:space="preserve"> </w:t>
      </w:r>
      <w:r w:rsidRPr="00F31A24">
        <w:rPr>
          <w:rFonts w:ascii="Times New Roman" w:hAnsi="Times New Roman" w:cs="Times New Roman"/>
        </w:rPr>
        <w:t>Rebekah</w:t>
      </w:r>
      <w:r>
        <w:rPr>
          <w:rFonts w:ascii="Times New Roman" w:hAnsi="Times New Roman" w:cs="Times New Roman"/>
        </w:rPr>
        <w:t>.</w:t>
      </w:r>
      <w:r w:rsidRPr="00F31A24">
        <w:rPr>
          <w:rFonts w:ascii="Times New Roman" w:hAnsi="Times New Roman" w:cs="Times New Roman"/>
        </w:rPr>
        <w:t xml:space="preserve"> </w:t>
      </w:r>
      <w:r w:rsidRPr="00B925FC">
        <w:rPr>
          <w:rFonts w:ascii="Times New Roman" w:hAnsi="Times New Roman" w:cs="Times New Roman"/>
          <w:i/>
          <w:iCs/>
        </w:rPr>
        <w:t>The Child to Come: Life After the Human Catastrophe</w:t>
      </w:r>
      <w:r>
        <w:rPr>
          <w:rFonts w:ascii="Times New Roman" w:hAnsi="Times New Roman" w:cs="Times New Roman"/>
        </w:rPr>
        <w:t xml:space="preserve">. </w:t>
      </w:r>
      <w:r w:rsidRPr="00F31A24">
        <w:rPr>
          <w:rFonts w:ascii="Times New Roman" w:hAnsi="Times New Roman" w:cs="Times New Roman"/>
        </w:rPr>
        <w:t>Minneapolis: University of Minnesota Press, 2017.</w:t>
      </w:r>
    </w:p>
    <w:p w14:paraId="3A14D89C"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Taylor,</w:t>
      </w:r>
      <w:r>
        <w:rPr>
          <w:rFonts w:ascii="Times New Roman" w:hAnsi="Times New Roman" w:cs="Times New Roman"/>
        </w:rPr>
        <w:t xml:space="preserve"> </w:t>
      </w:r>
      <w:proofErr w:type="spellStart"/>
      <w:r w:rsidRPr="00F31A24">
        <w:rPr>
          <w:rFonts w:ascii="Times New Roman" w:hAnsi="Times New Roman" w:cs="Times New Roman"/>
        </w:rPr>
        <w:t>Affrica</w:t>
      </w:r>
      <w:proofErr w:type="spellEnd"/>
      <w:r>
        <w:rPr>
          <w:rFonts w:ascii="Times New Roman" w:hAnsi="Times New Roman" w:cs="Times New Roman"/>
        </w:rPr>
        <w:t>.</w:t>
      </w:r>
      <w:r w:rsidRPr="00F31A24">
        <w:rPr>
          <w:rFonts w:ascii="Times New Roman" w:hAnsi="Times New Roman" w:cs="Times New Roman"/>
        </w:rPr>
        <w:t xml:space="preserve"> “Reconceptualising the ‘nature’ of childhood</w:t>
      </w:r>
      <w:r>
        <w:rPr>
          <w:rFonts w:ascii="Times New Roman" w:hAnsi="Times New Roman" w:cs="Times New Roman"/>
        </w:rPr>
        <w:t>.</w:t>
      </w:r>
      <w:r w:rsidRPr="00F31A24">
        <w:rPr>
          <w:rFonts w:ascii="Times New Roman" w:hAnsi="Times New Roman" w:cs="Times New Roman"/>
        </w:rPr>
        <w:t xml:space="preserve">” </w:t>
      </w:r>
      <w:r w:rsidRPr="00B71EBE">
        <w:rPr>
          <w:rFonts w:ascii="Times New Roman" w:hAnsi="Times New Roman" w:cs="Times New Roman"/>
          <w:i/>
          <w:iCs/>
        </w:rPr>
        <w:t>Childhood: a Journal of Global Childhood Research</w:t>
      </w:r>
      <w:r w:rsidRPr="00F31A24">
        <w:rPr>
          <w:rFonts w:ascii="Times New Roman" w:hAnsi="Times New Roman" w:cs="Times New Roman"/>
        </w:rPr>
        <w:t xml:space="preserve"> 18 (2011).</w:t>
      </w:r>
    </w:p>
    <w:p w14:paraId="4CC69E6E"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Thomson,</w:t>
      </w:r>
      <w:r>
        <w:rPr>
          <w:rFonts w:ascii="Times New Roman" w:hAnsi="Times New Roman" w:cs="Times New Roman"/>
        </w:rPr>
        <w:t xml:space="preserve"> </w:t>
      </w:r>
      <w:r w:rsidRPr="00F31A24">
        <w:rPr>
          <w:rFonts w:ascii="Times New Roman" w:hAnsi="Times New Roman" w:cs="Times New Roman"/>
        </w:rPr>
        <w:t>Matthew</w:t>
      </w:r>
      <w:r>
        <w:rPr>
          <w:rFonts w:ascii="Times New Roman" w:hAnsi="Times New Roman" w:cs="Times New Roman"/>
        </w:rPr>
        <w:t>.</w:t>
      </w:r>
      <w:r w:rsidRPr="00F31A24">
        <w:rPr>
          <w:rFonts w:ascii="Times New Roman" w:hAnsi="Times New Roman" w:cs="Times New Roman"/>
        </w:rPr>
        <w:t xml:space="preserve"> “Lost Freedom: The Landscape of the Child and the British Post-war Settlement</w:t>
      </w:r>
      <w:r>
        <w:rPr>
          <w:rFonts w:ascii="Times New Roman" w:hAnsi="Times New Roman" w:cs="Times New Roman"/>
        </w:rPr>
        <w:t>.</w:t>
      </w:r>
      <w:r w:rsidRPr="00F31A24">
        <w:rPr>
          <w:rFonts w:ascii="Times New Roman" w:hAnsi="Times New Roman" w:cs="Times New Roman"/>
        </w:rPr>
        <w:t xml:space="preserve">" </w:t>
      </w:r>
      <w:r w:rsidRPr="00B71EBE">
        <w:rPr>
          <w:rFonts w:ascii="Times New Roman" w:hAnsi="Times New Roman" w:cs="Times New Roman"/>
          <w:i/>
          <w:iCs/>
        </w:rPr>
        <w:t>Social History of Medicine</w:t>
      </w:r>
      <w:r w:rsidRPr="00F31A24">
        <w:rPr>
          <w:rFonts w:ascii="Times New Roman" w:hAnsi="Times New Roman" w:cs="Times New Roman"/>
        </w:rPr>
        <w:t xml:space="preserve"> 28 (2015).</w:t>
      </w:r>
    </w:p>
    <w:p w14:paraId="7AB8BFEB"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Weir,</w:t>
      </w:r>
      <w:r>
        <w:rPr>
          <w:rFonts w:ascii="Times New Roman" w:hAnsi="Times New Roman" w:cs="Times New Roman"/>
        </w:rPr>
        <w:t xml:space="preserve"> </w:t>
      </w:r>
      <w:r w:rsidRPr="00F31A24">
        <w:rPr>
          <w:rFonts w:ascii="Times New Roman" w:hAnsi="Times New Roman" w:cs="Times New Roman"/>
        </w:rPr>
        <w:t>Jessica</w:t>
      </w:r>
      <w:r>
        <w:rPr>
          <w:rFonts w:ascii="Times New Roman" w:hAnsi="Times New Roman" w:cs="Times New Roman"/>
        </w:rPr>
        <w:t>.</w:t>
      </w:r>
      <w:r w:rsidRPr="00F31A24">
        <w:rPr>
          <w:rFonts w:ascii="Times New Roman" w:hAnsi="Times New Roman" w:cs="Times New Roman"/>
        </w:rPr>
        <w:t xml:space="preserve"> </w:t>
      </w:r>
      <w:r w:rsidRPr="00ED3D04">
        <w:rPr>
          <w:rFonts w:ascii="Times New Roman" w:hAnsi="Times New Roman" w:cs="Times New Roman"/>
          <w:i/>
          <w:iCs/>
        </w:rPr>
        <w:t>Murray River Country: An ecological dialogue with traditional owners</w:t>
      </w:r>
      <w:r>
        <w:rPr>
          <w:rFonts w:ascii="Times New Roman" w:hAnsi="Times New Roman" w:cs="Times New Roman"/>
        </w:rPr>
        <w:t xml:space="preserve">. </w:t>
      </w:r>
      <w:r w:rsidRPr="00F31A24">
        <w:rPr>
          <w:rFonts w:ascii="Times New Roman" w:hAnsi="Times New Roman" w:cs="Times New Roman"/>
        </w:rPr>
        <w:t>Canberra: Aboriginal Studies Press, 2009.</w:t>
      </w:r>
    </w:p>
    <w:p w14:paraId="1CA79209"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t>West,</w:t>
      </w:r>
      <w:r>
        <w:rPr>
          <w:rFonts w:ascii="Times New Roman" w:hAnsi="Times New Roman" w:cs="Times New Roman"/>
        </w:rPr>
        <w:t xml:space="preserve"> </w:t>
      </w:r>
      <w:r w:rsidRPr="00F31A24">
        <w:rPr>
          <w:rFonts w:ascii="Times New Roman" w:hAnsi="Times New Roman" w:cs="Times New Roman"/>
        </w:rPr>
        <w:t>Elliot</w:t>
      </w:r>
      <w:r>
        <w:rPr>
          <w:rFonts w:ascii="Times New Roman" w:hAnsi="Times New Roman" w:cs="Times New Roman"/>
        </w:rPr>
        <w:t>.</w:t>
      </w:r>
      <w:r w:rsidRPr="00F31A24">
        <w:rPr>
          <w:rFonts w:ascii="Times New Roman" w:hAnsi="Times New Roman" w:cs="Times New Roman"/>
        </w:rPr>
        <w:t xml:space="preserve"> </w:t>
      </w:r>
      <w:r w:rsidRPr="00B57874">
        <w:rPr>
          <w:rFonts w:ascii="Times New Roman" w:hAnsi="Times New Roman" w:cs="Times New Roman"/>
          <w:i/>
          <w:iCs/>
        </w:rPr>
        <w:t>Growing Up with the Country</w:t>
      </w:r>
      <w:r>
        <w:rPr>
          <w:rFonts w:ascii="Times New Roman" w:hAnsi="Times New Roman" w:cs="Times New Roman"/>
        </w:rPr>
        <w:t>.</w:t>
      </w:r>
      <w:r w:rsidRPr="00F31A24">
        <w:rPr>
          <w:rFonts w:ascii="Times New Roman" w:hAnsi="Times New Roman" w:cs="Times New Roman"/>
        </w:rPr>
        <w:t xml:space="preserve"> Albuquerque: University of New Mexico Press, 1989.</w:t>
      </w:r>
    </w:p>
    <w:p w14:paraId="639A19E4" w14:textId="77777777" w:rsidR="00C82053" w:rsidRPr="00F31A24" w:rsidRDefault="00C82053" w:rsidP="00F31A24">
      <w:pPr>
        <w:spacing w:line="276" w:lineRule="auto"/>
        <w:rPr>
          <w:rFonts w:ascii="Times New Roman" w:hAnsi="Times New Roman" w:cs="Times New Roman"/>
        </w:rPr>
      </w:pPr>
      <w:r w:rsidRPr="00F31A24">
        <w:rPr>
          <w:rFonts w:ascii="Times New Roman" w:hAnsi="Times New Roman" w:cs="Times New Roman"/>
        </w:rPr>
        <w:lastRenderedPageBreak/>
        <w:t>Wolff,</w:t>
      </w:r>
      <w:r>
        <w:rPr>
          <w:rFonts w:ascii="Times New Roman" w:hAnsi="Times New Roman" w:cs="Times New Roman"/>
        </w:rPr>
        <w:t xml:space="preserve"> </w:t>
      </w:r>
      <w:r w:rsidRPr="00F31A24">
        <w:rPr>
          <w:rFonts w:ascii="Times New Roman" w:hAnsi="Times New Roman" w:cs="Times New Roman"/>
        </w:rPr>
        <w:t>Lili-Ann</w:t>
      </w:r>
      <w:r>
        <w:rPr>
          <w:rFonts w:ascii="Times New Roman" w:hAnsi="Times New Roman" w:cs="Times New Roman"/>
        </w:rPr>
        <w:t>.</w:t>
      </w:r>
      <w:r w:rsidRPr="00F31A24">
        <w:rPr>
          <w:rFonts w:ascii="Times New Roman" w:hAnsi="Times New Roman" w:cs="Times New Roman"/>
        </w:rPr>
        <w:t xml:space="preserve"> “The Mission of Early Childhood Education in the Anthropocene</w:t>
      </w:r>
      <w:r>
        <w:rPr>
          <w:rFonts w:ascii="Times New Roman" w:hAnsi="Times New Roman" w:cs="Times New Roman"/>
        </w:rPr>
        <w:t>.</w:t>
      </w:r>
      <w:r w:rsidRPr="00F31A24">
        <w:rPr>
          <w:rFonts w:ascii="Times New Roman" w:hAnsi="Times New Roman" w:cs="Times New Roman"/>
        </w:rPr>
        <w:t xml:space="preserve">” </w:t>
      </w:r>
      <w:r w:rsidRPr="001C2A52">
        <w:rPr>
          <w:rFonts w:ascii="Times New Roman" w:hAnsi="Times New Roman" w:cs="Times New Roman"/>
          <w:i/>
          <w:iCs/>
        </w:rPr>
        <w:t>Education Sciences</w:t>
      </w:r>
      <w:r w:rsidRPr="00F31A24">
        <w:rPr>
          <w:rFonts w:ascii="Times New Roman" w:hAnsi="Times New Roman" w:cs="Times New Roman"/>
        </w:rPr>
        <w:t xml:space="preserve"> 10 (2020).</w:t>
      </w:r>
    </w:p>
    <w:sectPr w:rsidR="00C82053" w:rsidRPr="00F31A24" w:rsidSect="00C15431">
      <w:head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7CE509" w14:textId="77777777" w:rsidR="009448DC" w:rsidRDefault="009448DC" w:rsidP="00844EED">
      <w:pPr>
        <w:spacing w:after="0" w:line="240" w:lineRule="auto"/>
      </w:pPr>
      <w:r>
        <w:separator/>
      </w:r>
    </w:p>
  </w:endnote>
  <w:endnote w:type="continuationSeparator" w:id="0">
    <w:p w14:paraId="2C59BE71" w14:textId="77777777" w:rsidR="009448DC" w:rsidRDefault="009448DC" w:rsidP="00844E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9BDAB5" w14:textId="77777777" w:rsidR="009448DC" w:rsidRDefault="009448DC" w:rsidP="00844EED">
      <w:pPr>
        <w:spacing w:after="0" w:line="240" w:lineRule="auto"/>
      </w:pPr>
      <w:r>
        <w:separator/>
      </w:r>
    </w:p>
  </w:footnote>
  <w:footnote w:type="continuationSeparator" w:id="0">
    <w:p w14:paraId="4672EF69" w14:textId="77777777" w:rsidR="009448DC" w:rsidRDefault="009448DC" w:rsidP="00844EED">
      <w:pPr>
        <w:spacing w:after="0" w:line="240" w:lineRule="auto"/>
      </w:pPr>
      <w:r>
        <w:continuationSeparator/>
      </w:r>
    </w:p>
  </w:footnote>
  <w:footnote w:id="1">
    <w:p w14:paraId="5DC6EB86" w14:textId="77777777" w:rsidR="004A2098" w:rsidRDefault="004A2098" w:rsidP="004A2098">
      <w:pPr>
        <w:pStyle w:val="FootnoteText"/>
        <w:ind w:firstLine="0"/>
      </w:pPr>
      <w:r>
        <w:rPr>
          <w:rStyle w:val="FootnoteReference"/>
        </w:rPr>
        <w:footnoteRef/>
      </w:r>
      <w:r>
        <w:t xml:space="preserve"> Jason Kelly, </w:t>
      </w:r>
      <w:r w:rsidRPr="00F23142">
        <w:rPr>
          <w:i/>
          <w:iCs/>
        </w:rPr>
        <w:t>Rivers of the Anthropocene</w:t>
      </w:r>
      <w:r>
        <w:t xml:space="preserve"> (Oakland, California: University of California Press, 2018), XV.</w:t>
      </w:r>
    </w:p>
  </w:footnote>
  <w:footnote w:id="2">
    <w:p w14:paraId="33464E45" w14:textId="77777777" w:rsidR="004A2098" w:rsidRDefault="004A2098" w:rsidP="004A2098">
      <w:pPr>
        <w:pStyle w:val="FootnoteText"/>
        <w:ind w:firstLine="0"/>
      </w:pPr>
      <w:r>
        <w:rPr>
          <w:rStyle w:val="FootnoteReference"/>
        </w:rPr>
        <w:footnoteRef/>
      </w:r>
      <w:r>
        <w:t xml:space="preserve"> </w:t>
      </w:r>
      <w:r w:rsidRPr="00883109">
        <w:t>Jason Moore</w:t>
      </w:r>
      <w:r>
        <w:t>,</w:t>
      </w:r>
      <w:r w:rsidRPr="00883109">
        <w:t xml:space="preserve"> “The </w:t>
      </w:r>
      <w:proofErr w:type="spellStart"/>
      <w:r w:rsidRPr="00883109">
        <w:t>Capitalocene</w:t>
      </w:r>
      <w:proofErr w:type="spellEnd"/>
      <w:r w:rsidRPr="00883109">
        <w:t>, Part I: On the Nature and Origins of Our Ecological Crisis</w:t>
      </w:r>
      <w:r>
        <w:t>,</w:t>
      </w:r>
      <w:r w:rsidRPr="00883109">
        <w:t xml:space="preserve">” </w:t>
      </w:r>
      <w:r w:rsidRPr="00E6429D">
        <w:rPr>
          <w:i/>
          <w:iCs/>
        </w:rPr>
        <w:t>Journal of Peasant Studies</w:t>
      </w:r>
      <w:r w:rsidRPr="00883109">
        <w:t xml:space="preserve"> 44</w:t>
      </w:r>
      <w:r>
        <w:t xml:space="preserve"> </w:t>
      </w:r>
      <w:r w:rsidRPr="00883109">
        <w:t>(2017): 594.</w:t>
      </w:r>
    </w:p>
  </w:footnote>
  <w:footnote w:id="3">
    <w:p w14:paraId="2B3577B2" w14:textId="77777777" w:rsidR="004A2098" w:rsidRDefault="004A2098" w:rsidP="004A2098">
      <w:pPr>
        <w:pStyle w:val="FootnoteText"/>
        <w:ind w:firstLine="0"/>
      </w:pPr>
      <w:r>
        <w:rPr>
          <w:rStyle w:val="FootnoteReference"/>
        </w:rPr>
        <w:footnoteRef/>
      </w:r>
      <w:r>
        <w:t xml:space="preserve"> Val </w:t>
      </w:r>
      <w:proofErr w:type="spellStart"/>
      <w:r w:rsidRPr="003B317A">
        <w:t>Plumwood</w:t>
      </w:r>
      <w:proofErr w:type="spellEnd"/>
      <w:r w:rsidRPr="003B317A">
        <w:t xml:space="preserve">, </w:t>
      </w:r>
      <w:r w:rsidRPr="003B317A">
        <w:rPr>
          <w:i/>
          <w:iCs/>
        </w:rPr>
        <w:t>Feminism and the Mastery of Nature</w:t>
      </w:r>
      <w:r>
        <w:t xml:space="preserve"> (</w:t>
      </w:r>
      <w:r w:rsidRPr="003B317A">
        <w:t>London: Routledge, 1993</w:t>
      </w:r>
      <w:r>
        <w:t>)</w:t>
      </w:r>
      <w:r w:rsidRPr="003B317A">
        <w:t>.</w:t>
      </w:r>
    </w:p>
  </w:footnote>
  <w:footnote w:id="4">
    <w:p w14:paraId="3D3DBE35" w14:textId="77777777" w:rsidR="004A2098" w:rsidRDefault="004A2098" w:rsidP="004A2098">
      <w:pPr>
        <w:pStyle w:val="FootnoteText"/>
        <w:ind w:firstLine="0"/>
        <w:jc w:val="left"/>
      </w:pPr>
      <w:r>
        <w:rPr>
          <w:rStyle w:val="FootnoteReference"/>
        </w:rPr>
        <w:footnoteRef/>
      </w:r>
      <w:r>
        <w:t xml:space="preserve"> Ibid, 28.</w:t>
      </w:r>
    </w:p>
  </w:footnote>
  <w:footnote w:id="5">
    <w:p w14:paraId="04B6C93B" w14:textId="77777777" w:rsidR="004A2098" w:rsidRPr="005F506D" w:rsidRDefault="004A2098" w:rsidP="00F31A24">
      <w:pPr>
        <w:autoSpaceDE w:val="0"/>
        <w:autoSpaceDN w:val="0"/>
        <w:adjustRightInd w:val="0"/>
        <w:spacing w:after="0" w:line="240" w:lineRule="auto"/>
        <w:rPr>
          <w:sz w:val="20"/>
        </w:rPr>
      </w:pPr>
      <w:r w:rsidRPr="005F506D">
        <w:rPr>
          <w:rStyle w:val="FootnoteReference"/>
          <w:sz w:val="20"/>
        </w:rPr>
        <w:footnoteRef/>
      </w:r>
      <w:r w:rsidRPr="005F506D">
        <w:rPr>
          <w:sz w:val="20"/>
        </w:rPr>
        <w:t xml:space="preserve"> </w:t>
      </w:r>
      <w:r w:rsidRPr="00F31A24">
        <w:rPr>
          <w:rFonts w:ascii="Times New Roman" w:hAnsi="Times New Roman" w:cs="Times New Roman"/>
          <w:sz w:val="20"/>
        </w:rPr>
        <w:t xml:space="preserve">Jessica Weir, </w:t>
      </w:r>
      <w:r w:rsidRPr="00F31A24">
        <w:rPr>
          <w:rFonts w:ascii="Times New Roman" w:hAnsi="Times New Roman" w:cs="Times New Roman"/>
          <w:i/>
          <w:iCs/>
          <w:sz w:val="20"/>
        </w:rPr>
        <w:t>Murray River Country: An ecological dialogue with traditional owners</w:t>
      </w:r>
      <w:r w:rsidRPr="00F31A24">
        <w:rPr>
          <w:rFonts w:ascii="Times New Roman" w:hAnsi="Times New Roman" w:cs="Times New Roman"/>
          <w:sz w:val="20"/>
        </w:rPr>
        <w:t xml:space="preserve"> (Canberra: Aboriginal Studies Press, 2009), 3.</w:t>
      </w:r>
    </w:p>
  </w:footnote>
  <w:footnote w:id="6">
    <w:p w14:paraId="735284F8" w14:textId="77777777" w:rsidR="004A2098" w:rsidRDefault="004A2098" w:rsidP="004A2098">
      <w:pPr>
        <w:pStyle w:val="FootnoteText"/>
        <w:ind w:firstLine="0"/>
        <w:jc w:val="left"/>
      </w:pPr>
      <w:r>
        <w:rPr>
          <w:rStyle w:val="FootnoteReference"/>
        </w:rPr>
        <w:footnoteRef/>
      </w:r>
      <w:r>
        <w:t xml:space="preserve"> Dipesh Chakrabarty and Kathleen Morrison, </w:t>
      </w:r>
      <w:r>
        <w:rPr>
          <w:i/>
          <w:iCs/>
        </w:rPr>
        <w:t>Subaltern Studies, Postcolonial Perspectives, and the Anthropocene</w:t>
      </w:r>
      <w:r>
        <w:t xml:space="preserve"> (Abingdon, Oxon: Routledge/Taylor &amp; Francis Group, 2020), 17.</w:t>
      </w:r>
    </w:p>
  </w:footnote>
  <w:footnote w:id="7">
    <w:p w14:paraId="3FC40233" w14:textId="77777777" w:rsidR="004A2098" w:rsidRPr="00AC6AC9" w:rsidRDefault="004A2098" w:rsidP="004A2098">
      <w:pPr>
        <w:pStyle w:val="FootnoteText"/>
        <w:ind w:firstLine="0"/>
        <w:jc w:val="left"/>
      </w:pPr>
      <w:r>
        <w:rPr>
          <w:rStyle w:val="FootnoteReference"/>
        </w:rPr>
        <w:footnoteRef/>
      </w:r>
      <w:r>
        <w:t xml:space="preserve"> </w:t>
      </w:r>
      <w:r w:rsidRPr="00A0184E">
        <w:t>Fikile Nxumalo</w:t>
      </w:r>
      <w:r>
        <w:t>,</w:t>
      </w:r>
      <w:r w:rsidRPr="00A0184E">
        <w:t xml:space="preserve"> </w:t>
      </w:r>
      <w:r>
        <w:t>“</w:t>
      </w:r>
      <w:r w:rsidRPr="00355745">
        <w:t>Situating Indigenous and Black Childhoods in the Anthropocene</w:t>
      </w:r>
      <w:r>
        <w:t xml:space="preserve">,” in </w:t>
      </w:r>
      <w:r>
        <w:rPr>
          <w:i/>
          <w:iCs/>
        </w:rPr>
        <w:t>Research Handbook on Childhood Nature</w:t>
      </w:r>
      <w:r>
        <w:t xml:space="preserve">, ed. </w:t>
      </w:r>
      <w:r w:rsidRPr="00AC6AC9">
        <w:t>Amy</w:t>
      </w:r>
      <w:r w:rsidRPr="00AC6AC9">
        <w:rPr>
          <w:rStyle w:val="Strong"/>
        </w:rPr>
        <w:t xml:space="preserve"> Cutter-Mackenzie-Knowles</w:t>
      </w:r>
      <w:r>
        <w:rPr>
          <w:b/>
          <w:bCs/>
        </w:rPr>
        <w:t xml:space="preserve"> </w:t>
      </w:r>
      <w:r>
        <w:t>et al. (New York: Springer, 2020), 3.</w:t>
      </w:r>
    </w:p>
  </w:footnote>
  <w:footnote w:id="8">
    <w:p w14:paraId="5D952BC7" w14:textId="77777777" w:rsidR="004A2098" w:rsidRDefault="004A2098" w:rsidP="004A2098">
      <w:pPr>
        <w:pStyle w:val="FootnoteText"/>
        <w:ind w:firstLine="0"/>
        <w:jc w:val="left"/>
      </w:pPr>
      <w:r>
        <w:rPr>
          <w:rStyle w:val="FootnoteReference"/>
        </w:rPr>
        <w:footnoteRef/>
      </w:r>
      <w:r>
        <w:t xml:space="preserve"> Katherine Gibson and Julie Graham</w:t>
      </w:r>
      <w:r w:rsidRPr="00023225">
        <w:t>,</w:t>
      </w:r>
      <w:r>
        <w:t xml:space="preserve"> </w:t>
      </w:r>
      <w:r w:rsidRPr="00023225">
        <w:t>“A Feminist Project of Belonging for the Anthropocene</w:t>
      </w:r>
      <w:r>
        <w:t>,</w:t>
      </w:r>
      <w:r w:rsidRPr="00023225">
        <w:t xml:space="preserve">” </w:t>
      </w:r>
      <w:r w:rsidRPr="009A6086">
        <w:rPr>
          <w:i/>
          <w:iCs/>
        </w:rPr>
        <w:t>Gender, Place &amp; Culture</w:t>
      </w:r>
      <w:r w:rsidRPr="00023225">
        <w:t xml:space="preserve"> 18</w:t>
      </w:r>
      <w:r>
        <w:t xml:space="preserve"> </w:t>
      </w:r>
      <w:r w:rsidRPr="00023225">
        <w:t>(2011):</w:t>
      </w:r>
      <w:r>
        <w:t xml:space="preserve"> 4</w:t>
      </w:r>
      <w:r w:rsidRPr="00023225">
        <w:t>.</w:t>
      </w:r>
    </w:p>
  </w:footnote>
  <w:footnote w:id="9">
    <w:p w14:paraId="3EBD558C" w14:textId="77777777" w:rsidR="004A2098" w:rsidRDefault="004A2098" w:rsidP="004A2098">
      <w:pPr>
        <w:pStyle w:val="FootnoteText"/>
        <w:ind w:firstLine="0"/>
        <w:jc w:val="left"/>
      </w:pPr>
      <w:r>
        <w:rPr>
          <w:rStyle w:val="FootnoteReference"/>
        </w:rPr>
        <w:footnoteRef/>
      </w:r>
      <w:r>
        <w:t xml:space="preserve"> Donna </w:t>
      </w:r>
      <w:r w:rsidRPr="0027724C">
        <w:t>Haraway</w:t>
      </w:r>
      <w:r>
        <w:t>,</w:t>
      </w:r>
      <w:r w:rsidRPr="0027724C">
        <w:t xml:space="preserve"> “Anthropocene, </w:t>
      </w:r>
      <w:proofErr w:type="spellStart"/>
      <w:r w:rsidRPr="0027724C">
        <w:t>Capitalocene</w:t>
      </w:r>
      <w:proofErr w:type="spellEnd"/>
      <w:r w:rsidRPr="0027724C">
        <w:t xml:space="preserve">, </w:t>
      </w:r>
      <w:proofErr w:type="spellStart"/>
      <w:r w:rsidRPr="0027724C">
        <w:t>Plantationocene</w:t>
      </w:r>
      <w:proofErr w:type="spellEnd"/>
      <w:r w:rsidRPr="0027724C">
        <w:t xml:space="preserve">, </w:t>
      </w:r>
      <w:proofErr w:type="spellStart"/>
      <w:r w:rsidRPr="0027724C">
        <w:t>Chthulucene</w:t>
      </w:r>
      <w:proofErr w:type="spellEnd"/>
      <w:r w:rsidRPr="0027724C">
        <w:t>: Making Kin</w:t>
      </w:r>
      <w:r>
        <w:t>,</w:t>
      </w:r>
      <w:r w:rsidRPr="0027724C">
        <w:t xml:space="preserve">” </w:t>
      </w:r>
      <w:r w:rsidRPr="00DB2E58">
        <w:rPr>
          <w:i/>
          <w:iCs/>
        </w:rPr>
        <w:t>Multitudes</w:t>
      </w:r>
      <w:r>
        <w:t xml:space="preserve"> </w:t>
      </w:r>
      <w:r w:rsidRPr="0027724C">
        <w:t>65</w:t>
      </w:r>
      <w:r>
        <w:t xml:space="preserve"> </w:t>
      </w:r>
      <w:r w:rsidRPr="0027724C">
        <w:t>(2017): 8</w:t>
      </w:r>
      <w:r>
        <w:t>0</w:t>
      </w:r>
      <w:r w:rsidRPr="0027724C">
        <w:t>.</w:t>
      </w:r>
    </w:p>
  </w:footnote>
  <w:footnote w:id="10">
    <w:p w14:paraId="0087B70D" w14:textId="77777777" w:rsidR="004A2098" w:rsidRDefault="004A2098" w:rsidP="004A2098">
      <w:pPr>
        <w:pStyle w:val="FootnoteText"/>
        <w:ind w:firstLine="0"/>
      </w:pPr>
      <w:r>
        <w:rPr>
          <w:rStyle w:val="FootnoteReference"/>
        </w:rPr>
        <w:footnoteRef/>
      </w:r>
      <w:r>
        <w:t xml:space="preserve"> Paul </w:t>
      </w:r>
      <w:proofErr w:type="spellStart"/>
      <w:r w:rsidRPr="00B1347D">
        <w:t>Crutzen</w:t>
      </w:r>
      <w:proofErr w:type="spellEnd"/>
      <w:r w:rsidRPr="00B1347D">
        <w:t>, "Geology of mankind</w:t>
      </w:r>
      <w:r>
        <w:t>,</w:t>
      </w:r>
      <w:r w:rsidRPr="00B1347D">
        <w:t xml:space="preserve">" </w:t>
      </w:r>
      <w:r w:rsidRPr="00B1347D">
        <w:rPr>
          <w:i/>
          <w:iCs/>
        </w:rPr>
        <w:t>Nature</w:t>
      </w:r>
      <w:r>
        <w:t xml:space="preserve"> </w:t>
      </w:r>
      <w:r w:rsidRPr="00B1347D">
        <w:t>415 (</w:t>
      </w:r>
      <w:r>
        <w:t>2002</w:t>
      </w:r>
      <w:r w:rsidRPr="00B1347D">
        <w:t>): 23.</w:t>
      </w:r>
    </w:p>
  </w:footnote>
  <w:footnote w:id="11">
    <w:p w14:paraId="7186235E" w14:textId="77777777" w:rsidR="004A2098" w:rsidRDefault="004A2098" w:rsidP="004A2098">
      <w:pPr>
        <w:pStyle w:val="FootnoteText"/>
        <w:ind w:firstLine="0"/>
      </w:pPr>
      <w:r>
        <w:rPr>
          <w:rStyle w:val="FootnoteReference"/>
        </w:rPr>
        <w:footnoteRef/>
      </w:r>
      <w:r>
        <w:t xml:space="preserve"> “Anthropocene Fever,” Jedediah Purdy, accessed 20 April 2020, </w:t>
      </w:r>
      <w:r w:rsidRPr="00C0313A">
        <w:t>https://aeon.co/essays/should-we-be-suspicious-of-the-anthropocene-idea</w:t>
      </w:r>
      <w:r>
        <w:t>.</w:t>
      </w:r>
    </w:p>
  </w:footnote>
  <w:footnote w:id="12">
    <w:p w14:paraId="4207CF73" w14:textId="77777777" w:rsidR="004A2098" w:rsidRPr="006E386F" w:rsidRDefault="004A2098" w:rsidP="004A2098">
      <w:pPr>
        <w:pStyle w:val="FootnoteText"/>
        <w:ind w:firstLine="0"/>
      </w:pPr>
      <w:r>
        <w:rPr>
          <w:rStyle w:val="FootnoteReference"/>
        </w:rPr>
        <w:footnoteRef/>
      </w:r>
      <w:r>
        <w:t xml:space="preserve"> David Blundell, “</w:t>
      </w:r>
      <w:r w:rsidRPr="00AA1CDE">
        <w:t>Children’s Lives Across The Anthropocene: reconsidering the place of Modern Childhood in Education Studies</w:t>
      </w:r>
      <w:r>
        <w:t>” (PhD Diss., London Metropolitan University, 2017).</w:t>
      </w:r>
    </w:p>
  </w:footnote>
  <w:footnote w:id="13">
    <w:p w14:paraId="40AE4F5C" w14:textId="77777777" w:rsidR="004A2098" w:rsidRDefault="004A2098" w:rsidP="004A2098">
      <w:pPr>
        <w:pStyle w:val="FootnoteText"/>
        <w:ind w:firstLine="0"/>
      </w:pPr>
      <w:r>
        <w:rPr>
          <w:rStyle w:val="FootnoteReference"/>
        </w:rPr>
        <w:footnoteRef/>
      </w:r>
      <w:r>
        <w:t xml:space="preserve"> Lili-Ann Wolff, “The Mission of Early Childhood Education in the Anthropocene,” </w:t>
      </w:r>
      <w:r>
        <w:rPr>
          <w:i/>
          <w:iCs/>
        </w:rPr>
        <w:t>Education Sciences</w:t>
      </w:r>
      <w:r>
        <w:t xml:space="preserve"> 10 (2020): 1.</w:t>
      </w:r>
    </w:p>
  </w:footnote>
  <w:footnote w:id="14">
    <w:p w14:paraId="7A275B6D" w14:textId="77777777" w:rsidR="004A2098" w:rsidRDefault="004A2098" w:rsidP="004A2098">
      <w:pPr>
        <w:pStyle w:val="FootnoteText"/>
        <w:ind w:firstLine="0"/>
      </w:pPr>
      <w:r>
        <w:rPr>
          <w:rStyle w:val="FootnoteReference"/>
        </w:rPr>
        <w:footnoteRef/>
      </w:r>
      <w:r>
        <w:t xml:space="preserve"> Matthew Thomson, </w:t>
      </w:r>
      <w:r w:rsidRPr="000A465A">
        <w:t xml:space="preserve">“Lost Freedom: The Landscape of the Child and the British Post-war Settlement," </w:t>
      </w:r>
      <w:r w:rsidRPr="000A465A">
        <w:rPr>
          <w:i/>
          <w:iCs/>
        </w:rPr>
        <w:t xml:space="preserve">Social History of Medicine </w:t>
      </w:r>
      <w:r w:rsidRPr="000A465A">
        <w:t>28</w:t>
      </w:r>
      <w:r>
        <w:t xml:space="preserve"> (</w:t>
      </w:r>
      <w:r w:rsidRPr="000A465A">
        <w:t>2015): 409-10.</w:t>
      </w:r>
    </w:p>
  </w:footnote>
  <w:footnote w:id="15">
    <w:p w14:paraId="52EB7116" w14:textId="77777777" w:rsidR="004A2098" w:rsidRPr="001D605F" w:rsidRDefault="004A2098" w:rsidP="004A2098">
      <w:pPr>
        <w:pStyle w:val="FootnoteText"/>
        <w:ind w:firstLine="0"/>
        <w:rPr>
          <w:i/>
          <w:iCs/>
        </w:rPr>
      </w:pPr>
      <w:r>
        <w:rPr>
          <w:rStyle w:val="FootnoteReference"/>
        </w:rPr>
        <w:footnoteRef/>
      </w:r>
      <w:r>
        <w:t xml:space="preserve"> </w:t>
      </w:r>
      <w:r w:rsidRPr="008F221B">
        <w:t>Sian</w:t>
      </w:r>
      <w:r>
        <w:t xml:space="preserve"> </w:t>
      </w:r>
      <w:r w:rsidRPr="008F221B">
        <w:t>Edwards</w:t>
      </w:r>
      <w:r w:rsidRPr="008F221B">
        <w:rPr>
          <w:i/>
          <w:iCs/>
        </w:rPr>
        <w:t>, Youth Movements, Citizenship and the English Countryside: Creating Good Citizens, 1930-1960</w:t>
      </w:r>
      <w:r>
        <w:t xml:space="preserve"> (</w:t>
      </w:r>
      <w:r w:rsidRPr="008F221B">
        <w:t>Cham: Springer International Publishing, 2018</w:t>
      </w:r>
      <w:r>
        <w:t>), 209-211</w:t>
      </w:r>
      <w:r w:rsidRPr="008F221B">
        <w:t>.</w:t>
      </w:r>
    </w:p>
  </w:footnote>
  <w:footnote w:id="16">
    <w:p w14:paraId="2D5E4903" w14:textId="77777777" w:rsidR="004A2098" w:rsidRDefault="004A2098" w:rsidP="004A2098">
      <w:pPr>
        <w:pStyle w:val="FootnoteText"/>
        <w:ind w:firstLine="0"/>
      </w:pPr>
      <w:r>
        <w:rPr>
          <w:rStyle w:val="FootnoteReference"/>
        </w:rPr>
        <w:footnoteRef/>
      </w:r>
      <w:r>
        <w:t xml:space="preserve"> Ian Rotherham, </w:t>
      </w:r>
      <w:r>
        <w:rPr>
          <w:i/>
          <w:iCs/>
        </w:rPr>
        <w:t xml:space="preserve">Cultural Severance and The Environment </w:t>
      </w:r>
      <w:r>
        <w:t>(Dordrecht: Springer, 2013), V.</w:t>
      </w:r>
    </w:p>
  </w:footnote>
  <w:footnote w:id="17">
    <w:p w14:paraId="1523C0C6" w14:textId="77777777" w:rsidR="004A2098" w:rsidRDefault="004A2098" w:rsidP="004A2098">
      <w:pPr>
        <w:pStyle w:val="FootnoteText"/>
        <w:ind w:firstLine="0"/>
      </w:pPr>
      <w:r>
        <w:rPr>
          <w:rStyle w:val="FootnoteReference"/>
        </w:rPr>
        <w:footnoteRef/>
      </w:r>
      <w:r>
        <w:t xml:space="preserve"> </w:t>
      </w:r>
      <w:bookmarkStart w:id="0" w:name="_Hlk25846179"/>
      <w:r>
        <w:t xml:space="preserve">Elliot West, </w:t>
      </w:r>
      <w:r w:rsidRPr="00641420">
        <w:rPr>
          <w:i/>
          <w:iCs/>
        </w:rPr>
        <w:t>Growing Up with the Country</w:t>
      </w:r>
      <w:r>
        <w:t xml:space="preserve"> (Albuquerque: University of New Mexico Press, 1989), 2.</w:t>
      </w:r>
      <w:bookmarkEnd w:id="0"/>
    </w:p>
  </w:footnote>
  <w:footnote w:id="18">
    <w:p w14:paraId="17A726C0" w14:textId="77777777" w:rsidR="004A2098" w:rsidRDefault="004A2098" w:rsidP="004A2098">
      <w:pPr>
        <w:pStyle w:val="FootnoteText"/>
        <w:ind w:firstLine="0"/>
      </w:pPr>
      <w:r>
        <w:rPr>
          <w:rStyle w:val="FootnoteReference"/>
        </w:rPr>
        <w:footnoteRef/>
      </w:r>
      <w:r>
        <w:t xml:space="preserve"> Pamela </w:t>
      </w:r>
      <w:proofErr w:type="spellStart"/>
      <w:r w:rsidRPr="009F4E4D">
        <w:t>Riney-Kehrberg</w:t>
      </w:r>
      <w:proofErr w:type="spellEnd"/>
      <w:r w:rsidRPr="009F4E4D">
        <w:t xml:space="preserve">, </w:t>
      </w:r>
      <w:r w:rsidRPr="009F4E4D">
        <w:rPr>
          <w:i/>
          <w:iCs/>
        </w:rPr>
        <w:t>The Nature of Childhood</w:t>
      </w:r>
      <w:r w:rsidRPr="009F4E4D">
        <w:t xml:space="preserve"> (Lawrence:</w:t>
      </w:r>
      <w:r>
        <w:t xml:space="preserve"> </w:t>
      </w:r>
      <w:r w:rsidRPr="009F4E4D">
        <w:t>University of Kansas Press, 2014)</w:t>
      </w:r>
      <w:r>
        <w:t>.</w:t>
      </w:r>
    </w:p>
  </w:footnote>
  <w:footnote w:id="19">
    <w:p w14:paraId="02865DC9" w14:textId="77777777" w:rsidR="004A2098" w:rsidRDefault="004A2098" w:rsidP="004A2098">
      <w:pPr>
        <w:pStyle w:val="FootnoteText"/>
        <w:ind w:firstLine="0"/>
      </w:pPr>
      <w:r>
        <w:rPr>
          <w:rStyle w:val="FootnoteReference"/>
        </w:rPr>
        <w:footnoteRef/>
      </w:r>
      <w:r>
        <w:t xml:space="preserve"> </w:t>
      </w:r>
      <w:r w:rsidRPr="00A0184E">
        <w:t>Nxumalo</w:t>
      </w:r>
      <w:r>
        <w:t>,</w:t>
      </w:r>
      <w:r w:rsidRPr="00A0184E">
        <w:t xml:space="preserve"> </w:t>
      </w:r>
      <w:r>
        <w:t>“</w:t>
      </w:r>
      <w:r w:rsidRPr="00355745">
        <w:t>Situating Indigenous and Black Childhoods in the Anthropocene</w:t>
      </w:r>
      <w:r>
        <w:t>,” 4.</w:t>
      </w:r>
    </w:p>
  </w:footnote>
  <w:footnote w:id="20">
    <w:p w14:paraId="77C886D0" w14:textId="77777777" w:rsidR="004A2098" w:rsidRDefault="004A2098" w:rsidP="004A2098">
      <w:pPr>
        <w:pStyle w:val="FootnoteText"/>
        <w:ind w:firstLine="0"/>
      </w:pPr>
      <w:r>
        <w:rPr>
          <w:rStyle w:val="FootnoteReference"/>
        </w:rPr>
        <w:footnoteRef/>
      </w:r>
      <w:r>
        <w:t xml:space="preserve"> </w:t>
      </w:r>
      <w:proofErr w:type="spellStart"/>
      <w:r>
        <w:t>Affrica</w:t>
      </w:r>
      <w:proofErr w:type="spellEnd"/>
      <w:r>
        <w:t xml:space="preserve"> </w:t>
      </w:r>
      <w:r w:rsidRPr="00266C50">
        <w:t xml:space="preserve">Taylor, </w:t>
      </w:r>
      <w:r>
        <w:t>“</w:t>
      </w:r>
      <w:r w:rsidRPr="00266C50">
        <w:t>Reconceptualising the ‘nature’ of childhood</w:t>
      </w:r>
      <w:r>
        <w:t>,”</w:t>
      </w:r>
      <w:r w:rsidRPr="00266C50">
        <w:t xml:space="preserve"> </w:t>
      </w:r>
      <w:r w:rsidRPr="00266C50">
        <w:rPr>
          <w:i/>
          <w:iCs/>
        </w:rPr>
        <w:t xml:space="preserve">Childhood: a Journal of Global Childhood Research </w:t>
      </w:r>
      <w:r w:rsidRPr="00266C50">
        <w:t>18 (2011)</w:t>
      </w:r>
      <w:r>
        <w:t xml:space="preserve">: </w:t>
      </w:r>
      <w:r w:rsidRPr="00266C50">
        <w:t>12</w:t>
      </w:r>
      <w:r>
        <w:t>2.</w:t>
      </w:r>
    </w:p>
  </w:footnote>
  <w:footnote w:id="21">
    <w:p w14:paraId="62E8CC81" w14:textId="77777777" w:rsidR="004A2098" w:rsidRDefault="004A2098" w:rsidP="004A2098">
      <w:pPr>
        <w:pStyle w:val="FootnoteText"/>
        <w:ind w:firstLine="0"/>
      </w:pPr>
      <w:r>
        <w:rPr>
          <w:rStyle w:val="FootnoteReference"/>
        </w:rPr>
        <w:footnoteRef/>
      </w:r>
      <w:r>
        <w:t xml:space="preserve"> Chakrabarty and Morrison, </w:t>
      </w:r>
      <w:r>
        <w:rPr>
          <w:i/>
          <w:iCs/>
        </w:rPr>
        <w:t>Subaltern Studies, Postcolonial Perspectives, and the Anthropocene</w:t>
      </w:r>
      <w:r>
        <w:t>, 17.</w:t>
      </w:r>
    </w:p>
  </w:footnote>
  <w:footnote w:id="22">
    <w:p w14:paraId="17FA53D9" w14:textId="77777777" w:rsidR="004A2098" w:rsidRPr="00C56458" w:rsidRDefault="004A2098" w:rsidP="004A2098">
      <w:pPr>
        <w:pStyle w:val="FootnoteText"/>
        <w:ind w:firstLine="0"/>
      </w:pPr>
      <w:r>
        <w:rPr>
          <w:rStyle w:val="FootnoteReference"/>
        </w:rPr>
        <w:footnoteRef/>
      </w:r>
      <w:r>
        <w:t xml:space="preserve"> Jean-Jacques Rousseau, </w:t>
      </w:r>
      <w:proofErr w:type="spellStart"/>
      <w:r>
        <w:rPr>
          <w:i/>
          <w:iCs/>
        </w:rPr>
        <w:t>Emilius</w:t>
      </w:r>
      <w:proofErr w:type="spellEnd"/>
      <w:r>
        <w:rPr>
          <w:i/>
          <w:iCs/>
        </w:rPr>
        <w:t xml:space="preserve"> and Sophia, or, a New System of Education</w:t>
      </w:r>
      <w:r>
        <w:t xml:space="preserve"> (London: T. Becket and P.A. de </w:t>
      </w:r>
      <w:proofErr w:type="spellStart"/>
      <w:r>
        <w:t>Hondt</w:t>
      </w:r>
      <w:proofErr w:type="spellEnd"/>
      <w:r>
        <w:t>, 1763), 53</w:t>
      </w:r>
    </w:p>
  </w:footnote>
  <w:footnote w:id="23">
    <w:p w14:paraId="796F5D48" w14:textId="77777777" w:rsidR="004A2098" w:rsidRDefault="004A2098" w:rsidP="004A2098">
      <w:pPr>
        <w:pStyle w:val="FootnoteText"/>
        <w:ind w:firstLine="0"/>
      </w:pPr>
      <w:r>
        <w:rPr>
          <w:rStyle w:val="FootnoteReference"/>
        </w:rPr>
        <w:footnoteRef/>
      </w:r>
      <w:r>
        <w:t xml:space="preserve"> William Blake, </w:t>
      </w:r>
      <w:r w:rsidRPr="00DF3689">
        <w:rPr>
          <w:i/>
          <w:iCs/>
        </w:rPr>
        <w:t>Songs of Innocence and of Experience</w:t>
      </w:r>
      <w:r>
        <w:t xml:space="preserve"> (London: Self-Published, 1794), 17.</w:t>
      </w:r>
    </w:p>
  </w:footnote>
  <w:footnote w:id="24">
    <w:p w14:paraId="405A8EDD" w14:textId="77777777" w:rsidR="004A2098" w:rsidRDefault="004A2098" w:rsidP="004A2098">
      <w:pPr>
        <w:pStyle w:val="FootnoteText"/>
        <w:ind w:firstLine="0"/>
      </w:pPr>
      <w:r>
        <w:rPr>
          <w:rStyle w:val="FootnoteReference"/>
        </w:rPr>
        <w:footnoteRef/>
      </w:r>
      <w:r>
        <w:t xml:space="preserve"> John</w:t>
      </w:r>
      <w:r w:rsidRPr="00E15599">
        <w:t xml:space="preserve"> Locke</w:t>
      </w:r>
      <w:r>
        <w:t xml:space="preserve">, </w:t>
      </w:r>
      <w:r>
        <w:rPr>
          <w:i/>
          <w:iCs/>
        </w:rPr>
        <w:t>An Essay Concerning Humane Understanding</w:t>
      </w:r>
      <w:r>
        <w:t xml:space="preserve"> (London: Thomas Basset, 1689), 134.</w:t>
      </w:r>
    </w:p>
  </w:footnote>
  <w:footnote w:id="25">
    <w:p w14:paraId="6D2789ED" w14:textId="77777777" w:rsidR="004A2098" w:rsidRDefault="004A2098" w:rsidP="004A2098">
      <w:pPr>
        <w:pStyle w:val="FootnoteText"/>
        <w:ind w:firstLine="0"/>
      </w:pPr>
      <w:r>
        <w:rPr>
          <w:rStyle w:val="FootnoteReference"/>
        </w:rPr>
        <w:footnoteRef/>
      </w:r>
      <w:r>
        <w:t xml:space="preserve"> William Cronon and Thomas Dunlap, </w:t>
      </w:r>
      <w:r>
        <w:rPr>
          <w:i/>
        </w:rPr>
        <w:t>Faith in Nature: Environmentalism as Religious Quest</w:t>
      </w:r>
      <w:r>
        <w:t xml:space="preserve"> (Seattle: University of Washington Press, 2005), 42.</w:t>
      </w:r>
    </w:p>
  </w:footnote>
  <w:footnote w:id="26">
    <w:p w14:paraId="20E33A8B" w14:textId="77777777" w:rsidR="004A2098" w:rsidRDefault="004A2098" w:rsidP="004A2098">
      <w:pPr>
        <w:pStyle w:val="FootnoteText"/>
        <w:ind w:firstLine="0"/>
      </w:pPr>
      <w:r>
        <w:rPr>
          <w:rStyle w:val="FootnoteReference"/>
        </w:rPr>
        <w:footnoteRef/>
      </w:r>
      <w:r>
        <w:t xml:space="preserve"> Sara </w:t>
      </w:r>
      <w:r w:rsidRPr="00A56303">
        <w:t xml:space="preserve">Maitland, </w:t>
      </w:r>
      <w:r w:rsidRPr="007D2973">
        <w:rPr>
          <w:i/>
        </w:rPr>
        <w:t xml:space="preserve">Gossip From the Forest:  the tangled roots of our forests and </w:t>
      </w:r>
      <w:proofErr w:type="spellStart"/>
      <w:r w:rsidRPr="007D2973">
        <w:rPr>
          <w:i/>
        </w:rPr>
        <w:t>fairytales</w:t>
      </w:r>
      <w:proofErr w:type="spellEnd"/>
      <w:r>
        <w:t xml:space="preserve"> (</w:t>
      </w:r>
      <w:r w:rsidRPr="00A56303">
        <w:t>London</w:t>
      </w:r>
      <w:r>
        <w:t xml:space="preserve">: </w:t>
      </w:r>
      <w:proofErr w:type="spellStart"/>
      <w:r w:rsidRPr="00A56303">
        <w:t>Granta</w:t>
      </w:r>
      <w:proofErr w:type="spellEnd"/>
      <w:r>
        <w:t>, 2013), 60.</w:t>
      </w:r>
    </w:p>
  </w:footnote>
  <w:footnote w:id="27">
    <w:p w14:paraId="48499A45" w14:textId="77777777" w:rsidR="004A2098" w:rsidRDefault="004A2098" w:rsidP="004A2098">
      <w:pPr>
        <w:pStyle w:val="FootnoteText"/>
        <w:ind w:firstLine="0"/>
      </w:pPr>
      <w:r>
        <w:rPr>
          <w:rStyle w:val="FootnoteReference"/>
        </w:rPr>
        <w:footnoteRef/>
      </w:r>
      <w:r>
        <w:t xml:space="preserve"> </w:t>
      </w:r>
      <w:r w:rsidRPr="000068D8">
        <w:t>Nxumalo</w:t>
      </w:r>
      <w:r>
        <w:t>,</w:t>
      </w:r>
      <w:r w:rsidRPr="00A0184E">
        <w:t xml:space="preserve"> </w:t>
      </w:r>
      <w:r>
        <w:t>“Situating Indigenous and Black Childhoods in the Anthropocene,” 4.</w:t>
      </w:r>
    </w:p>
  </w:footnote>
  <w:footnote w:id="28">
    <w:p w14:paraId="4AB0369C" w14:textId="77777777" w:rsidR="004A2098" w:rsidRDefault="004A2098" w:rsidP="004A2098">
      <w:pPr>
        <w:pStyle w:val="FootnoteText"/>
        <w:ind w:firstLine="0"/>
      </w:pPr>
      <w:r>
        <w:rPr>
          <w:rStyle w:val="FootnoteReference"/>
        </w:rPr>
        <w:footnoteRef/>
      </w:r>
      <w:r>
        <w:t xml:space="preserve"> </w:t>
      </w:r>
      <w:r w:rsidRPr="00377483">
        <w:t>Wolff, “The Mission of Early Childhood Education in the Anthropocene,”</w:t>
      </w:r>
      <w:r>
        <w:t xml:space="preserve"> 4</w:t>
      </w:r>
      <w:r w:rsidRPr="00377483">
        <w:t>.</w:t>
      </w:r>
    </w:p>
  </w:footnote>
  <w:footnote w:id="29">
    <w:p w14:paraId="652BEDF0" w14:textId="77777777" w:rsidR="004A2098" w:rsidRDefault="004A2098" w:rsidP="004A2098">
      <w:pPr>
        <w:pStyle w:val="FootnoteText"/>
        <w:ind w:firstLine="0"/>
      </w:pPr>
      <w:r>
        <w:rPr>
          <w:rStyle w:val="FootnoteReference"/>
        </w:rPr>
        <w:footnoteRef/>
      </w:r>
      <w:r>
        <w:t xml:space="preserve"> Rebekah Sheldon, </w:t>
      </w:r>
      <w:r>
        <w:rPr>
          <w:i/>
          <w:iCs/>
        </w:rPr>
        <w:t>The Child to Come: Life After the Human Catastrophe</w:t>
      </w:r>
      <w:r>
        <w:t xml:space="preserve"> (Minneapolis: University of Minnesota Press, 2017), 2.</w:t>
      </w:r>
    </w:p>
  </w:footnote>
  <w:footnote w:id="30">
    <w:p w14:paraId="61540646" w14:textId="77777777" w:rsidR="004A2098" w:rsidRDefault="004A2098" w:rsidP="004A2098">
      <w:pPr>
        <w:pStyle w:val="FootnoteText"/>
        <w:ind w:firstLine="0"/>
      </w:pPr>
      <w:r>
        <w:rPr>
          <w:rStyle w:val="FootnoteReference"/>
        </w:rPr>
        <w:footnoteRef/>
      </w:r>
      <w:r>
        <w:t xml:space="preserve"> David Blundell, “</w:t>
      </w:r>
      <w:r w:rsidRPr="006D4E67">
        <w:t>‘Nature’, Childhood, and The Anthropocene: evaluating the challenges for Education Studies</w:t>
      </w:r>
      <w:r>
        <w:t xml:space="preserve">,” </w:t>
      </w:r>
      <w:r>
        <w:rPr>
          <w:i/>
          <w:iCs/>
        </w:rPr>
        <w:t xml:space="preserve">British Education Studies Association Journal </w:t>
      </w:r>
      <w:r>
        <w:t>8 (2017): 9.</w:t>
      </w:r>
    </w:p>
  </w:footnote>
  <w:footnote w:id="31">
    <w:p w14:paraId="6F818F75" w14:textId="77777777" w:rsidR="004A2098" w:rsidRDefault="004A2098" w:rsidP="004A2098">
      <w:pPr>
        <w:pStyle w:val="FootnoteText"/>
        <w:ind w:firstLine="0"/>
      </w:pPr>
      <w:r>
        <w:rPr>
          <w:rStyle w:val="FootnoteReference"/>
        </w:rPr>
        <w:footnoteRef/>
      </w:r>
      <w:r>
        <w:t xml:space="preserve"> Clive Hamilton and </w:t>
      </w:r>
      <w:r w:rsidRPr="00F37C65">
        <w:t xml:space="preserve">Jacques </w:t>
      </w:r>
      <w:proofErr w:type="spellStart"/>
      <w:r>
        <w:t>Grinevald</w:t>
      </w:r>
      <w:proofErr w:type="spellEnd"/>
      <w:r>
        <w:t xml:space="preserve">, “Was the Anthropocene Anticipated?,” </w:t>
      </w:r>
      <w:r>
        <w:rPr>
          <w:rStyle w:val="Emphasis"/>
        </w:rPr>
        <w:t>The Anthropocene Review</w:t>
      </w:r>
      <w:r>
        <w:t xml:space="preserve"> 2 (2015): 67.</w:t>
      </w:r>
    </w:p>
  </w:footnote>
  <w:footnote w:id="32">
    <w:p w14:paraId="58696826" w14:textId="77777777" w:rsidR="004A2098" w:rsidRDefault="004A2098" w:rsidP="004A2098">
      <w:pPr>
        <w:pStyle w:val="FootnoteText"/>
        <w:ind w:firstLine="0"/>
      </w:pPr>
      <w:r>
        <w:rPr>
          <w:rStyle w:val="FootnoteReference"/>
        </w:rPr>
        <w:footnoteRef/>
      </w:r>
      <w:r>
        <w:t xml:space="preserve"> Blundell, “</w:t>
      </w:r>
      <w:r w:rsidRPr="006D4E67">
        <w:t>‘Nature’, Childhood, and The Anthropocene</w:t>
      </w:r>
      <w:r>
        <w:t>,” 10.</w:t>
      </w:r>
    </w:p>
  </w:footnote>
  <w:footnote w:id="33">
    <w:p w14:paraId="5ECD6254" w14:textId="77777777" w:rsidR="004A2098" w:rsidRDefault="004A2098" w:rsidP="004A2098">
      <w:pPr>
        <w:pStyle w:val="FootnoteText"/>
        <w:ind w:firstLine="0"/>
      </w:pPr>
      <w:r>
        <w:rPr>
          <w:rStyle w:val="FootnoteReference"/>
        </w:rPr>
        <w:footnoteRef/>
      </w:r>
      <w:r>
        <w:t xml:space="preserve"> Andreas </w:t>
      </w:r>
      <w:proofErr w:type="spellStart"/>
      <w:r>
        <w:t>Malm</w:t>
      </w:r>
      <w:proofErr w:type="spellEnd"/>
      <w:r>
        <w:t xml:space="preserve"> and Alf </w:t>
      </w:r>
      <w:proofErr w:type="spellStart"/>
      <w:r>
        <w:t>Hornborg</w:t>
      </w:r>
      <w:proofErr w:type="spellEnd"/>
      <w:r>
        <w:t xml:space="preserve">, “The Geology of Mankind? A Critique of the Anthropocene Narrative,” </w:t>
      </w:r>
      <w:r>
        <w:rPr>
          <w:i/>
          <w:iCs/>
        </w:rPr>
        <w:t>The Anthropocene Review</w:t>
      </w:r>
      <w:r>
        <w:t xml:space="preserve"> 1 (2014): 66.</w:t>
      </w:r>
    </w:p>
  </w:footnote>
  <w:footnote w:id="34">
    <w:p w14:paraId="08421945" w14:textId="77777777" w:rsidR="004A2098" w:rsidRDefault="004A2098" w:rsidP="004A2098">
      <w:pPr>
        <w:pStyle w:val="FootnoteText"/>
        <w:ind w:firstLine="0"/>
      </w:pPr>
      <w:r>
        <w:rPr>
          <w:rStyle w:val="FootnoteReference"/>
        </w:rPr>
        <w:footnoteRef/>
      </w:r>
      <w:r>
        <w:t xml:space="preserve"> Kirsti Pedersen </w:t>
      </w:r>
      <w:proofErr w:type="spellStart"/>
      <w:r>
        <w:t>Gurholt</w:t>
      </w:r>
      <w:proofErr w:type="spellEnd"/>
      <w:r>
        <w:t xml:space="preserve"> and </w:t>
      </w:r>
      <w:proofErr w:type="spellStart"/>
      <w:r>
        <w:t>Jostein</w:t>
      </w:r>
      <w:proofErr w:type="spellEnd"/>
      <w:r>
        <w:t xml:space="preserve"> </w:t>
      </w:r>
      <w:proofErr w:type="spellStart"/>
      <w:r>
        <w:t>Rønning</w:t>
      </w:r>
      <w:proofErr w:type="spellEnd"/>
      <w:r>
        <w:t xml:space="preserve"> </w:t>
      </w:r>
      <w:proofErr w:type="spellStart"/>
      <w:r>
        <w:t>Sanderud</w:t>
      </w:r>
      <w:proofErr w:type="spellEnd"/>
      <w:r>
        <w:t xml:space="preserve">, “Curious Play: Children’s Exploration of Nature,” </w:t>
      </w:r>
      <w:r>
        <w:rPr>
          <w:i/>
          <w:iCs/>
        </w:rPr>
        <w:t>Journal of Adventure Education and Outdoor Learning</w:t>
      </w:r>
      <w:r>
        <w:t xml:space="preserve"> 16 (2016): 326.</w:t>
      </w:r>
    </w:p>
  </w:footnote>
  <w:footnote w:id="35">
    <w:p w14:paraId="6AD01CFE" w14:textId="77777777" w:rsidR="004A2098" w:rsidRDefault="004A2098" w:rsidP="004A2098">
      <w:pPr>
        <w:pStyle w:val="FootnoteText"/>
        <w:ind w:firstLine="0"/>
        <w:jc w:val="left"/>
      </w:pPr>
      <w:r>
        <w:rPr>
          <w:rStyle w:val="FootnoteReference"/>
        </w:rPr>
        <w:footnoteRef/>
      </w:r>
      <w:r>
        <w:t xml:space="preserve"> Pamela </w:t>
      </w:r>
      <w:proofErr w:type="spellStart"/>
      <w:r w:rsidRPr="009F4E4D">
        <w:t>Riney-Kehrberg</w:t>
      </w:r>
      <w:proofErr w:type="spellEnd"/>
      <w:r w:rsidRPr="009F4E4D">
        <w:t xml:space="preserve">, </w:t>
      </w:r>
      <w:r w:rsidRPr="00DA5EA3">
        <w:rPr>
          <w:i/>
          <w:iCs/>
        </w:rPr>
        <w:t>The Nature of Childhood: An Environmental History of Growing Up in America Since 1865</w:t>
      </w:r>
      <w:r>
        <w:rPr>
          <w:i/>
          <w:iCs/>
        </w:rPr>
        <w:t xml:space="preserve"> </w:t>
      </w:r>
      <w:r>
        <w:t>(Lawrence: University Press of Kansas, 2014), 48.</w:t>
      </w:r>
    </w:p>
  </w:footnote>
  <w:footnote w:id="36">
    <w:p w14:paraId="4CF52D91" w14:textId="77777777" w:rsidR="004A2098" w:rsidRDefault="004A2098" w:rsidP="004A2098">
      <w:pPr>
        <w:pStyle w:val="FootnoteText"/>
        <w:ind w:firstLine="0"/>
        <w:jc w:val="left"/>
      </w:pPr>
      <w:r>
        <w:rPr>
          <w:rStyle w:val="FootnoteReference"/>
        </w:rPr>
        <w:footnoteRef/>
      </w:r>
      <w:r>
        <w:t xml:space="preserve"> Eduardo Kohn, </w:t>
      </w:r>
      <w:r>
        <w:rPr>
          <w:i/>
          <w:iCs/>
        </w:rPr>
        <w:t>How Forests Think: Toward an Anthropology Beyond the Human</w:t>
      </w:r>
      <w:r>
        <w:t xml:space="preserve"> (Berkeley: University of California Press, 2013), 105.</w:t>
      </w:r>
    </w:p>
  </w:footnote>
  <w:footnote w:id="37">
    <w:p w14:paraId="74E1DFBA" w14:textId="77777777" w:rsidR="004A2098" w:rsidRDefault="004A2098" w:rsidP="004A2098">
      <w:pPr>
        <w:pStyle w:val="FootnoteText"/>
        <w:ind w:firstLine="0"/>
        <w:jc w:val="left"/>
      </w:pPr>
      <w:r>
        <w:rPr>
          <w:rStyle w:val="FootnoteReference"/>
        </w:rPr>
        <w:footnoteRef/>
      </w:r>
      <w:r>
        <w:t xml:space="preserve"> “Children’s Relations with Materials,” Common Worlds Research Collective, accessed 3 May 2020, </w:t>
      </w:r>
      <w:r w:rsidRPr="00F90026">
        <w:t>http://commonworlds.net/childrens-relations-with-materials/</w:t>
      </w:r>
      <w:r>
        <w:t>.</w:t>
      </w:r>
    </w:p>
  </w:footnote>
  <w:footnote w:id="38">
    <w:p w14:paraId="1850CA6C" w14:textId="77777777" w:rsidR="004A2098" w:rsidRDefault="004A2098" w:rsidP="004A2098">
      <w:pPr>
        <w:pStyle w:val="FootnoteText"/>
        <w:ind w:firstLine="0"/>
        <w:jc w:val="left"/>
      </w:pPr>
      <w:r>
        <w:rPr>
          <w:rStyle w:val="FootnoteReference"/>
        </w:rPr>
        <w:footnoteRef/>
      </w:r>
      <w:r>
        <w:t xml:space="preserve"> “Children’s Relations with Place,” Common Worlds Research Collective, accessed 3 May 2020, </w:t>
      </w:r>
      <w:r w:rsidRPr="00F958BD">
        <w:t>http://commonworlds.net/childrens-relations-with-place/</w:t>
      </w:r>
      <w:r>
        <w:t>.</w:t>
      </w:r>
    </w:p>
  </w:footnote>
  <w:footnote w:id="39">
    <w:p w14:paraId="6E7261C8" w14:textId="77777777" w:rsidR="004A2098" w:rsidRPr="00621210" w:rsidRDefault="004A2098" w:rsidP="004A2098">
      <w:pPr>
        <w:pStyle w:val="FootnoteText"/>
        <w:ind w:firstLine="0"/>
      </w:pPr>
      <w:r>
        <w:rPr>
          <w:rStyle w:val="FootnoteReference"/>
        </w:rPr>
        <w:footnoteRef/>
      </w:r>
      <w:r>
        <w:t xml:space="preserve"> </w:t>
      </w:r>
      <w:r w:rsidRPr="00621210">
        <w:t>Natalie Canning</w:t>
      </w:r>
      <w:r>
        <w:t xml:space="preserve">, </w:t>
      </w:r>
      <w:r w:rsidRPr="00621210">
        <w:rPr>
          <w:i/>
          <w:iCs/>
        </w:rPr>
        <w:t>Play and Practice in the Early Years Foundation Stage</w:t>
      </w:r>
      <w:r>
        <w:t xml:space="preserve"> (London: SAGE Publishing, 2010), 6.</w:t>
      </w:r>
    </w:p>
  </w:footnote>
  <w:footnote w:id="40">
    <w:p w14:paraId="351E199D" w14:textId="77777777" w:rsidR="004A2098" w:rsidRDefault="004A2098" w:rsidP="004A2098">
      <w:pPr>
        <w:pStyle w:val="FootnoteText"/>
        <w:ind w:firstLine="0"/>
      </w:pPr>
      <w:r>
        <w:rPr>
          <w:rStyle w:val="FootnoteReference"/>
        </w:rPr>
        <w:footnoteRef/>
      </w:r>
      <w:r>
        <w:t xml:space="preserve"> Frances </w:t>
      </w:r>
      <w:proofErr w:type="spellStart"/>
      <w:r>
        <w:t>Kuo</w:t>
      </w:r>
      <w:proofErr w:type="spellEnd"/>
      <w:r>
        <w:t xml:space="preserve">, “Nature-Deficit Disorder: Evidence, Dosage, and Treatment,” </w:t>
      </w:r>
      <w:r>
        <w:rPr>
          <w:i/>
          <w:iCs/>
        </w:rPr>
        <w:t>Journal of Policy Research in Tourism, Leisure and Events</w:t>
      </w:r>
      <w:r>
        <w:t xml:space="preserve"> 5 (2013): 175.</w:t>
      </w:r>
    </w:p>
  </w:footnote>
  <w:footnote w:id="41">
    <w:p w14:paraId="5EC95B7F" w14:textId="77777777" w:rsidR="004A2098" w:rsidRDefault="004A2098" w:rsidP="004A2098">
      <w:pPr>
        <w:pStyle w:val="FootnoteText"/>
        <w:ind w:firstLine="0"/>
      </w:pPr>
      <w:r>
        <w:rPr>
          <w:rStyle w:val="FootnoteReference"/>
        </w:rPr>
        <w:footnoteRef/>
      </w:r>
      <w:r>
        <w:t xml:space="preserve"> Katherine Gibson and Julie Graham</w:t>
      </w:r>
      <w:r w:rsidRPr="00023225">
        <w:t>,</w:t>
      </w:r>
      <w:r>
        <w:t xml:space="preserve"> </w:t>
      </w:r>
      <w:r w:rsidRPr="00023225">
        <w:t>“A Feminist Project of Belonging for the Anthropocene</w:t>
      </w:r>
      <w:r>
        <w:t>,</w:t>
      </w:r>
      <w:r w:rsidRPr="00023225">
        <w:t xml:space="preserve">” </w:t>
      </w:r>
      <w:r w:rsidRPr="009A6086">
        <w:rPr>
          <w:i/>
          <w:iCs/>
        </w:rPr>
        <w:t>Gender, Place &amp; Culture</w:t>
      </w:r>
      <w:r w:rsidRPr="00023225">
        <w:t xml:space="preserve"> 18</w:t>
      </w:r>
      <w:r>
        <w:t xml:space="preserve"> </w:t>
      </w:r>
      <w:r w:rsidRPr="00023225">
        <w:t>(2011):</w:t>
      </w:r>
      <w:r>
        <w:t xml:space="preserve"> 4</w:t>
      </w:r>
      <w:r w:rsidRPr="00023225">
        <w:t>.</w:t>
      </w:r>
    </w:p>
  </w:footnote>
  <w:footnote w:id="42">
    <w:p w14:paraId="6DC81191" w14:textId="77777777" w:rsidR="004A2098" w:rsidRDefault="004A2098" w:rsidP="004A2098">
      <w:pPr>
        <w:pStyle w:val="FootnoteText"/>
        <w:ind w:firstLine="0"/>
      </w:pPr>
      <w:r>
        <w:rPr>
          <w:rStyle w:val="FootnoteReference"/>
        </w:rPr>
        <w:footnoteRef/>
      </w:r>
      <w:r>
        <w:t xml:space="preserve"> Blundell, “</w:t>
      </w:r>
      <w:r w:rsidRPr="006D4E67">
        <w:t>‘Nature’, Childhood, and The Anthropocene</w:t>
      </w:r>
      <w:r>
        <w:t>,” 41.</w:t>
      </w:r>
    </w:p>
  </w:footnote>
  <w:footnote w:id="43">
    <w:p w14:paraId="2F56E03D" w14:textId="77777777" w:rsidR="004A2098" w:rsidRDefault="004A2098" w:rsidP="004A2098">
      <w:pPr>
        <w:pStyle w:val="FootnoteText"/>
        <w:ind w:firstLine="0"/>
      </w:pPr>
      <w:r>
        <w:rPr>
          <w:rStyle w:val="FootnoteReference"/>
        </w:rPr>
        <w:footnoteRef/>
      </w:r>
      <w:r>
        <w:t xml:space="preserve"> Karen Malone, </w:t>
      </w:r>
      <w:r>
        <w:rPr>
          <w:i/>
        </w:rPr>
        <w:t>Children in the Anthropocene: Rethinking Sustainability and Child Friendliness in Cities</w:t>
      </w:r>
      <w:r>
        <w:t xml:space="preserve"> (London: Palgrave Macmillan, 2018), 255.</w:t>
      </w:r>
    </w:p>
  </w:footnote>
  <w:footnote w:id="44">
    <w:p w14:paraId="32E541AD" w14:textId="77777777" w:rsidR="004A2098" w:rsidRDefault="004A2098" w:rsidP="004A2098">
      <w:pPr>
        <w:pStyle w:val="FootnoteText"/>
        <w:ind w:firstLine="0"/>
      </w:pPr>
      <w:r>
        <w:rPr>
          <w:rStyle w:val="FootnoteReference"/>
        </w:rPr>
        <w:footnoteRef/>
      </w:r>
      <w:r>
        <w:t xml:space="preserve"> Blundell, “</w:t>
      </w:r>
      <w:r w:rsidRPr="006D4E67">
        <w:t>‘Nature’, Childhood, and The Anthropocene</w:t>
      </w:r>
      <w:r>
        <w:t>,” 6.</w:t>
      </w:r>
    </w:p>
  </w:footnote>
  <w:footnote w:id="45">
    <w:p w14:paraId="2015688F" w14:textId="4E80FDE6" w:rsidR="004A2098" w:rsidRPr="00553BC3" w:rsidRDefault="004A2098" w:rsidP="004A2098">
      <w:pPr>
        <w:pStyle w:val="FootnoteText"/>
        <w:ind w:firstLine="0"/>
      </w:pPr>
      <w:r>
        <w:rPr>
          <w:rStyle w:val="FootnoteReference"/>
        </w:rPr>
        <w:footnoteRef/>
      </w:r>
      <w:r>
        <w:t xml:space="preserve"> Peter </w:t>
      </w:r>
      <w:r w:rsidRPr="007112E1">
        <w:t xml:space="preserve">Hopkins and </w:t>
      </w:r>
      <w:r>
        <w:t xml:space="preserve">Rachel </w:t>
      </w:r>
      <w:r w:rsidRPr="007112E1">
        <w:t>Pain</w:t>
      </w:r>
      <w:r>
        <w:t>, “</w:t>
      </w:r>
      <w:r w:rsidRPr="00241A51">
        <w:t>Geographies of age: thinking relationally</w:t>
      </w:r>
      <w:r>
        <w:t xml:space="preserve">,” </w:t>
      </w:r>
      <w:r>
        <w:rPr>
          <w:i/>
          <w:iCs/>
        </w:rPr>
        <w:t xml:space="preserve">Area </w:t>
      </w:r>
      <w:r>
        <w:t xml:space="preserve">39 (2007): </w:t>
      </w:r>
      <w:r w:rsidR="00566849">
        <w:t>287</w:t>
      </w:r>
      <w:r>
        <w:t>.</w:t>
      </w:r>
    </w:p>
  </w:footnote>
  <w:footnote w:id="46">
    <w:p w14:paraId="70590033" w14:textId="77777777" w:rsidR="004A2098" w:rsidRDefault="004A2098" w:rsidP="004A2098">
      <w:pPr>
        <w:pStyle w:val="FootnoteText"/>
        <w:ind w:firstLine="0"/>
      </w:pPr>
      <w:r>
        <w:rPr>
          <w:rStyle w:val="FootnoteReference"/>
        </w:rPr>
        <w:footnoteRef/>
      </w:r>
      <w:r>
        <w:t xml:space="preserve"> </w:t>
      </w:r>
      <w:r w:rsidRPr="00377483">
        <w:t>Wolff, “The Mission of Early Childhood Education in the Anthropocene,”</w:t>
      </w:r>
      <w:r>
        <w:t xml:space="preserve"> 3</w:t>
      </w:r>
      <w:r w:rsidRPr="00377483">
        <w:t>.</w:t>
      </w:r>
    </w:p>
  </w:footnote>
  <w:footnote w:id="47">
    <w:p w14:paraId="2169A4F5" w14:textId="77777777" w:rsidR="004A2098" w:rsidRPr="00924846" w:rsidRDefault="004A2098" w:rsidP="004A2098">
      <w:pPr>
        <w:pStyle w:val="FootnoteText"/>
        <w:ind w:firstLine="0"/>
      </w:pPr>
      <w:r>
        <w:rPr>
          <w:rStyle w:val="FootnoteReference"/>
        </w:rPr>
        <w:footnoteRef/>
      </w:r>
      <w:r>
        <w:t xml:space="preserve"> Alan </w:t>
      </w:r>
      <w:proofErr w:type="spellStart"/>
      <w:r>
        <w:t>Prout</w:t>
      </w:r>
      <w:proofErr w:type="spellEnd"/>
      <w:r>
        <w:t xml:space="preserve">, </w:t>
      </w:r>
      <w:r w:rsidRPr="00924846">
        <w:rPr>
          <w:i/>
          <w:iCs/>
        </w:rPr>
        <w:t>Constructing and Reconstructing Childhood</w:t>
      </w:r>
      <w:r>
        <w:rPr>
          <w:i/>
          <w:iCs/>
        </w:rPr>
        <w:t xml:space="preserve"> </w:t>
      </w:r>
      <w:r>
        <w:t>(Oxford: Routledge, 1997), 13.</w:t>
      </w:r>
    </w:p>
  </w:footnote>
  <w:footnote w:id="48">
    <w:p w14:paraId="6CEA0B5D" w14:textId="77777777" w:rsidR="004A2098" w:rsidRPr="00E215BF" w:rsidRDefault="004A2098" w:rsidP="004A2098">
      <w:pPr>
        <w:pStyle w:val="FootnoteText"/>
        <w:ind w:firstLine="0"/>
      </w:pPr>
      <w:r>
        <w:rPr>
          <w:rStyle w:val="FootnoteReference"/>
        </w:rPr>
        <w:footnoteRef/>
      </w:r>
      <w:r>
        <w:t xml:space="preserve"> Sian Edwards, “</w:t>
      </w:r>
      <w:r w:rsidRPr="00F706D8">
        <w:t>‘A Richness that is Lacking Now’: Country Childhoods, Nostalgia and Rural Change in the Mass Observation Project</w:t>
      </w:r>
      <w:r>
        <w:t xml:space="preserve">,” </w:t>
      </w:r>
      <w:r>
        <w:rPr>
          <w:i/>
          <w:iCs/>
        </w:rPr>
        <w:t>History</w:t>
      </w:r>
      <w:r>
        <w:t xml:space="preserve"> 104 (2020): 947.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C2F01C" w14:textId="77777777" w:rsidR="00517CF4" w:rsidRPr="006B4E84" w:rsidRDefault="009448DC" w:rsidP="006B4E84">
    <w:pPr>
      <w:pStyle w:val="Header"/>
      <w:rPr>
        <w:sz w:val="32"/>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8D4E9C"/>
    <w:multiLevelType w:val="hybridMultilevel"/>
    <w:tmpl w:val="A6EC46DE"/>
    <w:lvl w:ilvl="0" w:tplc="764E0F3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C27"/>
    <w:rsid w:val="00004CF3"/>
    <w:rsid w:val="00025F79"/>
    <w:rsid w:val="000272A4"/>
    <w:rsid w:val="0003242A"/>
    <w:rsid w:val="000436E5"/>
    <w:rsid w:val="00074F63"/>
    <w:rsid w:val="0008798E"/>
    <w:rsid w:val="000C75E0"/>
    <w:rsid w:val="00144551"/>
    <w:rsid w:val="00191B6E"/>
    <w:rsid w:val="00192627"/>
    <w:rsid w:val="001C2A52"/>
    <w:rsid w:val="001F034A"/>
    <w:rsid w:val="0021363B"/>
    <w:rsid w:val="00237D1D"/>
    <w:rsid w:val="0027532E"/>
    <w:rsid w:val="0027724C"/>
    <w:rsid w:val="002973DB"/>
    <w:rsid w:val="002C04AA"/>
    <w:rsid w:val="002D254C"/>
    <w:rsid w:val="003000C9"/>
    <w:rsid w:val="00320E5C"/>
    <w:rsid w:val="003C781F"/>
    <w:rsid w:val="003E7C27"/>
    <w:rsid w:val="003F34D4"/>
    <w:rsid w:val="004145E4"/>
    <w:rsid w:val="00422CB8"/>
    <w:rsid w:val="004957BE"/>
    <w:rsid w:val="004A2098"/>
    <w:rsid w:val="004B59D0"/>
    <w:rsid w:val="004C0C27"/>
    <w:rsid w:val="004C3DD2"/>
    <w:rsid w:val="004C567F"/>
    <w:rsid w:val="004D5E7D"/>
    <w:rsid w:val="004E2AFA"/>
    <w:rsid w:val="004F4DA1"/>
    <w:rsid w:val="00500243"/>
    <w:rsid w:val="00545C40"/>
    <w:rsid w:val="00566849"/>
    <w:rsid w:val="00566BC9"/>
    <w:rsid w:val="005D723B"/>
    <w:rsid w:val="005E0097"/>
    <w:rsid w:val="005F78C5"/>
    <w:rsid w:val="005F78D3"/>
    <w:rsid w:val="00607E45"/>
    <w:rsid w:val="00637800"/>
    <w:rsid w:val="00690EBB"/>
    <w:rsid w:val="006E264C"/>
    <w:rsid w:val="0071328C"/>
    <w:rsid w:val="00831141"/>
    <w:rsid w:val="00844EED"/>
    <w:rsid w:val="00876351"/>
    <w:rsid w:val="008829CD"/>
    <w:rsid w:val="008947DB"/>
    <w:rsid w:val="008A0C63"/>
    <w:rsid w:val="008A28B1"/>
    <w:rsid w:val="008A5961"/>
    <w:rsid w:val="009039CD"/>
    <w:rsid w:val="009154C8"/>
    <w:rsid w:val="00927C95"/>
    <w:rsid w:val="0093600E"/>
    <w:rsid w:val="009448DC"/>
    <w:rsid w:val="009557F7"/>
    <w:rsid w:val="00973D28"/>
    <w:rsid w:val="00974FB0"/>
    <w:rsid w:val="009B596C"/>
    <w:rsid w:val="009C3747"/>
    <w:rsid w:val="00A03654"/>
    <w:rsid w:val="00A05D29"/>
    <w:rsid w:val="00A07AD4"/>
    <w:rsid w:val="00A203AB"/>
    <w:rsid w:val="00A47BCB"/>
    <w:rsid w:val="00A579D5"/>
    <w:rsid w:val="00A75D59"/>
    <w:rsid w:val="00AD04EC"/>
    <w:rsid w:val="00AF4D68"/>
    <w:rsid w:val="00B00B95"/>
    <w:rsid w:val="00B57874"/>
    <w:rsid w:val="00B71EBE"/>
    <w:rsid w:val="00B925FC"/>
    <w:rsid w:val="00BB43AC"/>
    <w:rsid w:val="00BC5BB3"/>
    <w:rsid w:val="00BD5A75"/>
    <w:rsid w:val="00BE61A1"/>
    <w:rsid w:val="00C35215"/>
    <w:rsid w:val="00C82053"/>
    <w:rsid w:val="00CC5024"/>
    <w:rsid w:val="00CD731E"/>
    <w:rsid w:val="00D34AA6"/>
    <w:rsid w:val="00D4215A"/>
    <w:rsid w:val="00D6711B"/>
    <w:rsid w:val="00DA6019"/>
    <w:rsid w:val="00DD7D71"/>
    <w:rsid w:val="00E0354C"/>
    <w:rsid w:val="00E11638"/>
    <w:rsid w:val="00ED3D04"/>
    <w:rsid w:val="00EF4582"/>
    <w:rsid w:val="00F2680D"/>
    <w:rsid w:val="00F31A24"/>
    <w:rsid w:val="00F36BFA"/>
    <w:rsid w:val="00F37636"/>
    <w:rsid w:val="00F51D94"/>
    <w:rsid w:val="00F5612A"/>
    <w:rsid w:val="00F71433"/>
    <w:rsid w:val="00FA43B6"/>
    <w:rsid w:val="00FD040A"/>
    <w:rsid w:val="00FD6CD5"/>
    <w:rsid w:val="00FE6E1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755F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GB" w:eastAsia="zh-CN"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9CD"/>
    <w:rPr>
      <w:sz w:val="24"/>
    </w:rPr>
  </w:style>
  <w:style w:type="paragraph" w:styleId="Heading1">
    <w:name w:val="heading 1"/>
    <w:basedOn w:val="Normal"/>
    <w:next w:val="Normal"/>
    <w:link w:val="Heading1Char"/>
    <w:uiPriority w:val="9"/>
    <w:qFormat/>
    <w:rsid w:val="003E7C27"/>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E7C27"/>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3E7C27"/>
    <w:pPr>
      <w:keepNext/>
      <w:keepLines/>
      <w:spacing w:before="40" w:after="0" w:line="240" w:lineRule="auto"/>
      <w:outlineLvl w:val="2"/>
    </w:pPr>
    <w:rPr>
      <w:rFonts w:asciiTheme="majorHAnsi" w:eastAsiaTheme="majorEastAsia" w:hAnsiTheme="majorHAnsi" w:cstheme="majorBidi"/>
      <w:color w:val="44546A" w:themeColor="text2"/>
      <w:szCs w:val="24"/>
    </w:rPr>
  </w:style>
  <w:style w:type="paragraph" w:styleId="Heading4">
    <w:name w:val="heading 4"/>
    <w:basedOn w:val="Normal"/>
    <w:next w:val="Normal"/>
    <w:link w:val="Heading4Char"/>
    <w:uiPriority w:val="9"/>
    <w:semiHidden/>
    <w:unhideWhenUsed/>
    <w:qFormat/>
    <w:rsid w:val="003E7C27"/>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3E7C27"/>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3E7C27"/>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3E7C27"/>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3E7C27"/>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3E7C27"/>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C2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E7C27"/>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3E7C27"/>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3E7C27"/>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3E7C27"/>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3E7C27"/>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3E7C27"/>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3E7C27"/>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3E7C27"/>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3E7C27"/>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3E7C27"/>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3E7C27"/>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3E7C27"/>
    <w:pPr>
      <w:numPr>
        <w:ilvl w:val="1"/>
      </w:numPr>
      <w:spacing w:line="240" w:lineRule="auto"/>
    </w:pPr>
    <w:rPr>
      <w:rFonts w:asciiTheme="majorHAnsi" w:eastAsiaTheme="majorEastAsia" w:hAnsiTheme="majorHAnsi" w:cstheme="majorBidi"/>
      <w:szCs w:val="24"/>
    </w:rPr>
  </w:style>
  <w:style w:type="character" w:customStyle="1" w:styleId="SubtitleChar">
    <w:name w:val="Subtitle Char"/>
    <w:basedOn w:val="DefaultParagraphFont"/>
    <w:link w:val="Subtitle"/>
    <w:uiPriority w:val="11"/>
    <w:rsid w:val="003E7C27"/>
    <w:rPr>
      <w:rFonts w:asciiTheme="majorHAnsi" w:eastAsiaTheme="majorEastAsia" w:hAnsiTheme="majorHAnsi" w:cstheme="majorBidi"/>
      <w:sz w:val="24"/>
      <w:szCs w:val="24"/>
    </w:rPr>
  </w:style>
  <w:style w:type="character" w:styleId="Strong">
    <w:name w:val="Strong"/>
    <w:basedOn w:val="DefaultParagraphFont"/>
    <w:uiPriority w:val="22"/>
    <w:qFormat/>
    <w:rsid w:val="003E7C27"/>
    <w:rPr>
      <w:b/>
      <w:bCs/>
    </w:rPr>
  </w:style>
  <w:style w:type="character" w:styleId="Emphasis">
    <w:name w:val="Emphasis"/>
    <w:basedOn w:val="DefaultParagraphFont"/>
    <w:uiPriority w:val="20"/>
    <w:qFormat/>
    <w:rsid w:val="003E7C27"/>
    <w:rPr>
      <w:i/>
      <w:iCs/>
    </w:rPr>
  </w:style>
  <w:style w:type="paragraph" w:styleId="NoSpacing">
    <w:name w:val="No Spacing"/>
    <w:uiPriority w:val="1"/>
    <w:qFormat/>
    <w:rsid w:val="003E7C27"/>
    <w:pPr>
      <w:spacing w:after="0" w:line="240" w:lineRule="auto"/>
    </w:pPr>
  </w:style>
  <w:style w:type="paragraph" w:styleId="Quote">
    <w:name w:val="Quote"/>
    <w:basedOn w:val="Normal"/>
    <w:next w:val="Normal"/>
    <w:link w:val="QuoteChar"/>
    <w:uiPriority w:val="29"/>
    <w:qFormat/>
    <w:rsid w:val="003E7C27"/>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3E7C27"/>
    <w:rPr>
      <w:i/>
      <w:iCs/>
      <w:color w:val="404040" w:themeColor="text1" w:themeTint="BF"/>
    </w:rPr>
  </w:style>
  <w:style w:type="paragraph" w:styleId="IntenseQuote">
    <w:name w:val="Intense Quote"/>
    <w:basedOn w:val="Normal"/>
    <w:next w:val="Normal"/>
    <w:link w:val="IntenseQuoteChar"/>
    <w:uiPriority w:val="30"/>
    <w:qFormat/>
    <w:rsid w:val="003E7C27"/>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3E7C27"/>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3E7C27"/>
    <w:rPr>
      <w:i/>
      <w:iCs/>
      <w:color w:val="404040" w:themeColor="text1" w:themeTint="BF"/>
    </w:rPr>
  </w:style>
  <w:style w:type="character" w:styleId="IntenseEmphasis">
    <w:name w:val="Intense Emphasis"/>
    <w:basedOn w:val="DefaultParagraphFont"/>
    <w:uiPriority w:val="21"/>
    <w:qFormat/>
    <w:rsid w:val="003E7C27"/>
    <w:rPr>
      <w:b/>
      <w:bCs/>
      <w:i/>
      <w:iCs/>
    </w:rPr>
  </w:style>
  <w:style w:type="character" w:styleId="SubtleReference">
    <w:name w:val="Subtle Reference"/>
    <w:basedOn w:val="DefaultParagraphFont"/>
    <w:uiPriority w:val="31"/>
    <w:qFormat/>
    <w:rsid w:val="003E7C27"/>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3E7C27"/>
    <w:rPr>
      <w:b/>
      <w:bCs/>
      <w:smallCaps/>
      <w:spacing w:val="5"/>
      <w:u w:val="single"/>
    </w:rPr>
  </w:style>
  <w:style w:type="character" w:styleId="BookTitle">
    <w:name w:val="Book Title"/>
    <w:basedOn w:val="DefaultParagraphFont"/>
    <w:uiPriority w:val="33"/>
    <w:qFormat/>
    <w:rsid w:val="003E7C27"/>
    <w:rPr>
      <w:b/>
      <w:bCs/>
      <w:smallCaps/>
    </w:rPr>
  </w:style>
  <w:style w:type="paragraph" w:styleId="TOCHeading">
    <w:name w:val="TOC Heading"/>
    <w:basedOn w:val="Heading1"/>
    <w:next w:val="Normal"/>
    <w:uiPriority w:val="39"/>
    <w:semiHidden/>
    <w:unhideWhenUsed/>
    <w:qFormat/>
    <w:rsid w:val="003E7C27"/>
    <w:pPr>
      <w:outlineLvl w:val="9"/>
    </w:pPr>
  </w:style>
  <w:style w:type="table" w:styleId="TableGrid">
    <w:name w:val="Table Grid"/>
    <w:basedOn w:val="TableNormal"/>
    <w:uiPriority w:val="39"/>
    <w:rsid w:val="003E7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711B"/>
    <w:pPr>
      <w:ind w:left="720"/>
      <w:contextualSpacing/>
    </w:pPr>
  </w:style>
  <w:style w:type="paragraph" w:styleId="Header">
    <w:name w:val="header"/>
    <w:basedOn w:val="Normal"/>
    <w:link w:val="HeaderChar"/>
    <w:uiPriority w:val="99"/>
    <w:unhideWhenUsed/>
    <w:rsid w:val="00844E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4EED"/>
  </w:style>
  <w:style w:type="paragraph" w:styleId="Footer">
    <w:name w:val="footer"/>
    <w:basedOn w:val="Normal"/>
    <w:link w:val="FooterChar"/>
    <w:uiPriority w:val="99"/>
    <w:unhideWhenUsed/>
    <w:rsid w:val="00844E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4EED"/>
  </w:style>
  <w:style w:type="numbering" w:customStyle="1" w:styleId="NoList1">
    <w:name w:val="No List1"/>
    <w:next w:val="NoList"/>
    <w:uiPriority w:val="99"/>
    <w:semiHidden/>
    <w:unhideWhenUsed/>
    <w:rsid w:val="004A2098"/>
  </w:style>
  <w:style w:type="paragraph" w:styleId="FootnoteText">
    <w:name w:val="footnote text"/>
    <w:basedOn w:val="Normal"/>
    <w:link w:val="FootnoteTextChar"/>
    <w:uiPriority w:val="99"/>
    <w:unhideWhenUsed/>
    <w:rsid w:val="004A2098"/>
    <w:pPr>
      <w:spacing w:after="0" w:line="240" w:lineRule="auto"/>
      <w:ind w:firstLine="709"/>
      <w:jc w:val="both"/>
    </w:pPr>
    <w:rPr>
      <w:rFonts w:ascii="Times New Roman" w:eastAsiaTheme="minorHAnsi" w:hAnsi="Times New Roman" w:cs="Times New Roman"/>
      <w:sz w:val="20"/>
      <w:lang w:eastAsia="en-US"/>
    </w:rPr>
  </w:style>
  <w:style w:type="character" w:customStyle="1" w:styleId="FootnoteTextChar">
    <w:name w:val="Footnote Text Char"/>
    <w:basedOn w:val="DefaultParagraphFont"/>
    <w:link w:val="FootnoteText"/>
    <w:uiPriority w:val="99"/>
    <w:rsid w:val="004A2098"/>
    <w:rPr>
      <w:rFonts w:ascii="Times New Roman" w:eastAsiaTheme="minorHAnsi" w:hAnsi="Times New Roman" w:cs="Times New Roman"/>
      <w:lang w:eastAsia="en-US"/>
    </w:rPr>
  </w:style>
  <w:style w:type="character" w:styleId="FootnoteReference">
    <w:name w:val="footnote reference"/>
    <w:basedOn w:val="DefaultParagraphFont"/>
    <w:uiPriority w:val="99"/>
    <w:semiHidden/>
    <w:unhideWhenUsed/>
    <w:rsid w:val="004A20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07EBD82E3086E4CA862D4982F90594D" ma:contentTypeVersion="8" ma:contentTypeDescription="Create a new document." ma:contentTypeScope="" ma:versionID="8ddf07906f9aa4e27f6c33c4bf3cb38a">
  <xsd:schema xmlns:xsd="http://www.w3.org/2001/XMLSchema" xmlns:xs="http://www.w3.org/2001/XMLSchema" xmlns:p="http://schemas.microsoft.com/office/2006/metadata/properties" xmlns:ns3="4facf45b-dafd-488a-ad57-f2b74a7b27af" targetNamespace="http://schemas.microsoft.com/office/2006/metadata/properties" ma:root="true" ma:fieldsID="4d23e2360f05364c05964ab4f8cfeebe" ns3:_="">
    <xsd:import namespace="4facf45b-dafd-488a-ad57-f2b74a7b27a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acf45b-dafd-488a-ad57-f2b74a7b27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113C8E-E547-485B-86C1-A59380F0B0E3}">
  <ds:schemaRefs>
    <ds:schemaRef ds:uri="http://schemas.openxmlformats.org/officeDocument/2006/bibliography"/>
  </ds:schemaRefs>
</ds:datastoreItem>
</file>

<file path=customXml/itemProps2.xml><?xml version="1.0" encoding="utf-8"?>
<ds:datastoreItem xmlns:ds="http://schemas.openxmlformats.org/officeDocument/2006/customXml" ds:itemID="{D3A3E1BF-0FFA-462C-BA78-E5A0866617A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C1C83EE-C152-475C-84AF-23AC6BB58FFB}">
  <ds:schemaRefs>
    <ds:schemaRef ds:uri="http://schemas.microsoft.com/sharepoint/v3/contenttype/forms"/>
  </ds:schemaRefs>
</ds:datastoreItem>
</file>

<file path=customXml/itemProps4.xml><?xml version="1.0" encoding="utf-8"?>
<ds:datastoreItem xmlns:ds="http://schemas.openxmlformats.org/officeDocument/2006/customXml" ds:itemID="{EDC531CE-8A21-4AF8-A0B6-98ECC0D06D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acf45b-dafd-488a-ad57-f2b74a7b27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4631</Words>
  <Characters>26402</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2020-06-03T14:56:00Z</dcterms:created>
  <dcterms:modified xsi:type="dcterms:W3CDTF">2020-07-14T15:39:00Z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0x010100207EBD82E3086E4CA862D4982F90594D</vt:lpwstr>
  </property>
</Properties>
</file>