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658D9C" w14:textId="77777777" w:rsidR="000401F5" w:rsidRDefault="000401F5" w:rsidP="000401F5">
      <w:pPr>
        <w:autoSpaceDE w:val="0"/>
        <w:autoSpaceDN w:val="0"/>
        <w:adjustRightInd w:val="0"/>
        <w:spacing w:line="480" w:lineRule="auto"/>
        <w:jc w:val="center"/>
        <w:rPr>
          <w:rFonts w:ascii="Times New Roman" w:hAnsi="Times New Roman" w:cs="Times New Roman"/>
          <w:sz w:val="40"/>
          <w:szCs w:val="40"/>
        </w:rPr>
      </w:pPr>
      <w:r w:rsidRPr="000401F5">
        <w:rPr>
          <w:rFonts w:ascii="Times New Roman" w:hAnsi="Times New Roman" w:cs="Times New Roman"/>
          <w:sz w:val="40"/>
          <w:szCs w:val="40"/>
        </w:rPr>
        <w:t>Anthropocene Ecologies of Nutrition and Economy</w:t>
      </w:r>
    </w:p>
    <w:p w14:paraId="774AA4EB" w14:textId="3124AF4B" w:rsidR="000401F5" w:rsidRPr="000401F5" w:rsidRDefault="000401F5" w:rsidP="000401F5">
      <w:pPr>
        <w:autoSpaceDE w:val="0"/>
        <w:autoSpaceDN w:val="0"/>
        <w:adjustRightInd w:val="0"/>
        <w:spacing w:line="480" w:lineRule="auto"/>
        <w:jc w:val="center"/>
        <w:rPr>
          <w:rFonts w:ascii="Times New Roman" w:hAnsi="Times New Roman" w:cs="Times New Roman"/>
          <w:sz w:val="40"/>
          <w:szCs w:val="40"/>
        </w:rPr>
      </w:pPr>
      <w:r w:rsidRPr="000401F5">
        <w:rPr>
          <w:rFonts w:ascii="Times New Roman" w:hAnsi="Times New Roman" w:cs="Times New Roman"/>
          <w:sz w:val="28"/>
          <w:szCs w:val="28"/>
        </w:rPr>
        <w:t>Louis Lorenzo</w:t>
      </w:r>
    </w:p>
    <w:p w14:paraId="30A62816"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096EEE1C"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51E7C30C"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01507258"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44E42797"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594FB13F"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45AA8A2C"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6657857A"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484832B4"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3D44D46F"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6C4CA21A"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67F00462"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57A76985"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1706592B"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770AF685"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74144B82"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592705FD"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0EAF7DA0"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4225CFE7" w14:textId="77777777" w:rsidR="000401F5" w:rsidRDefault="000401F5" w:rsidP="00183629">
      <w:pPr>
        <w:autoSpaceDE w:val="0"/>
        <w:autoSpaceDN w:val="0"/>
        <w:adjustRightInd w:val="0"/>
        <w:spacing w:line="480" w:lineRule="auto"/>
        <w:jc w:val="both"/>
        <w:rPr>
          <w:rFonts w:ascii="Times New Roman" w:hAnsi="Times New Roman" w:cs="Times New Roman"/>
          <w:szCs w:val="24"/>
        </w:rPr>
      </w:pPr>
    </w:p>
    <w:p w14:paraId="15A0772A" w14:textId="7D730F7B"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r w:rsidRPr="00183629">
        <w:rPr>
          <w:rFonts w:ascii="Times New Roman" w:hAnsi="Times New Roman" w:cs="Times New Roman"/>
          <w:szCs w:val="24"/>
        </w:rPr>
        <w:t xml:space="preserve">The Ethiopian drought of 1983 to 1985, that lead to a famine which left 1.2 million people dead and 2.5 million displaced, was not an act of God. This time something was different, or something was different in the way people were beginning to view what environmental disasters meant in the “modern age”. More specifically, what they meant in an age where the activities of humanity were becoming increasingly inseparable from those of the rest of the natural world. Questions were being raised as to why, as James Verdin et al. ask in </w:t>
      </w:r>
      <w:r w:rsidRPr="00183629">
        <w:rPr>
          <w:rFonts w:ascii="Times New Roman" w:hAnsi="Times New Roman" w:cs="Times New Roman"/>
          <w:i/>
          <w:iCs/>
          <w:szCs w:val="24"/>
        </w:rPr>
        <w:t>Climate Science and Famine Early Warning</w:t>
      </w:r>
      <w:r w:rsidRPr="00183629">
        <w:rPr>
          <w:rFonts w:ascii="Times New Roman" w:hAnsi="Times New Roman" w:cs="Times New Roman"/>
          <w:szCs w:val="24"/>
        </w:rPr>
        <w:t>, this drought had come so quickly of the back of several other droughts the region had endured in recent years, out of step with existing cycles of Ethiopian climate that typically saw drought once a decade?</w:t>
      </w:r>
      <w:r w:rsidRPr="00183629">
        <w:rPr>
          <w:rStyle w:val="FootnoteReference"/>
          <w:rFonts w:ascii="Times New Roman" w:hAnsi="Times New Roman" w:cs="Times New Roman"/>
          <w:szCs w:val="24"/>
        </w:rPr>
        <w:footnoteReference w:id="1"/>
      </w:r>
      <w:r w:rsidRPr="00183629">
        <w:rPr>
          <w:rFonts w:ascii="Times New Roman" w:hAnsi="Times New Roman" w:cs="Times New Roman"/>
          <w:szCs w:val="24"/>
        </w:rPr>
        <w:t xml:space="preserve"> Droughts occur when high temperatures increase the rate of ‘evapotranspiration’, where water is lost from soil and the flora it supports. This also leads to wildfires, such as those seen in Australia in 1966, 1993, and 2019.</w:t>
      </w:r>
      <w:r w:rsidRPr="00183629">
        <w:rPr>
          <w:rFonts w:ascii="Times New Roman" w:hAnsi="Times New Roman" w:cs="Times New Roman"/>
          <w:szCs w:val="24"/>
          <w:vertAlign w:val="superscript"/>
        </w:rPr>
        <w:footnoteReference w:id="2"/>
      </w:r>
      <w:r w:rsidRPr="00183629">
        <w:rPr>
          <w:rFonts w:ascii="Times New Roman" w:hAnsi="Times New Roman" w:cs="Times New Roman"/>
          <w:szCs w:val="24"/>
        </w:rPr>
        <w:t xml:space="preserve"> Changes in temperatures also affect rates of rainfall, as they influence air and ocean currents making dry areas drier and wet ones wetter, meaning plants that would traditionally grow in that region will no longer do so.</w:t>
      </w:r>
      <w:r w:rsidRPr="00183629">
        <w:rPr>
          <w:rFonts w:ascii="Times New Roman" w:hAnsi="Times New Roman" w:cs="Times New Roman"/>
          <w:szCs w:val="24"/>
          <w:vertAlign w:val="superscript"/>
        </w:rPr>
        <w:footnoteReference w:id="3"/>
      </w:r>
      <w:r w:rsidRPr="00183629">
        <w:rPr>
          <w:rFonts w:ascii="Times New Roman" w:hAnsi="Times New Roman" w:cs="Times New Roman"/>
          <w:szCs w:val="24"/>
        </w:rPr>
        <w:t xml:space="preserve"> As food is an integral element of culture, loss of these traditional foodstuffs then damages affected peoples on a societal as well as an economic level.</w:t>
      </w:r>
      <w:r w:rsidRPr="00183629">
        <w:rPr>
          <w:rFonts w:ascii="Times New Roman" w:hAnsi="Times New Roman" w:cs="Times New Roman"/>
          <w:szCs w:val="24"/>
          <w:vertAlign w:val="superscript"/>
        </w:rPr>
        <w:footnoteReference w:id="4"/>
      </w:r>
    </w:p>
    <w:p w14:paraId="48084C04"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183629">
        <w:rPr>
          <w:rFonts w:ascii="Times New Roman" w:hAnsi="Times New Roman" w:cs="Times New Roman"/>
          <w:szCs w:val="24"/>
        </w:rPr>
        <w:t>Contemporary climate scientists suspected that the Ethiopian droughts were not “natural” in origin, at least in the traditional sense of the word. Instead, they later proved that they were a consequence of a tropical rain belt that globally had been consistently pushing southwards over the course of the latter half of the 20</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century, leading to decreased rainfall all across the southern Sahara.</w:t>
      </w:r>
      <w:r w:rsidRPr="00183629">
        <w:rPr>
          <w:rStyle w:val="FootnoteReference"/>
          <w:rFonts w:ascii="Times New Roman" w:hAnsi="Times New Roman" w:cs="Times New Roman"/>
          <w:szCs w:val="24"/>
        </w:rPr>
        <w:footnoteReference w:id="5"/>
      </w:r>
      <w:r w:rsidRPr="00183629">
        <w:rPr>
          <w:rFonts w:ascii="Times New Roman" w:hAnsi="Times New Roman" w:cs="Times New Roman"/>
          <w:szCs w:val="24"/>
        </w:rPr>
        <w:t xml:space="preserve"> Furthermore, the reason for this shift southwards was directly attributable to human activity. In an </w:t>
      </w:r>
      <w:r w:rsidRPr="00183629">
        <w:rPr>
          <w:rFonts w:ascii="Times New Roman" w:hAnsi="Times New Roman" w:cs="Times New Roman"/>
          <w:szCs w:val="24"/>
        </w:rPr>
        <w:lastRenderedPageBreak/>
        <w:t xml:space="preserve">article for </w:t>
      </w:r>
      <w:r w:rsidRPr="00183629">
        <w:rPr>
          <w:rFonts w:ascii="Times New Roman" w:hAnsi="Times New Roman" w:cs="Times New Roman"/>
          <w:i/>
          <w:iCs/>
          <w:szCs w:val="24"/>
        </w:rPr>
        <w:t xml:space="preserve">Geophysical Research Letters </w:t>
      </w:r>
      <w:r w:rsidRPr="00183629">
        <w:rPr>
          <w:rFonts w:ascii="Times New Roman" w:hAnsi="Times New Roman" w:cs="Times New Roman"/>
          <w:szCs w:val="24"/>
        </w:rPr>
        <w:t>in 2013 Yen-Ting Hwang et al. explain how the release of sulphates into the atmosphere via the burning of coal in Europe and North America had been the ‘primary cause’ for the ‘aerosol cooling of the Northern Hemisphere’ and the subsequent change in global weather patterns.</w:t>
      </w:r>
      <w:r w:rsidRPr="00183629">
        <w:rPr>
          <w:rStyle w:val="FootnoteReference"/>
          <w:rFonts w:ascii="Times New Roman" w:hAnsi="Times New Roman" w:cs="Times New Roman"/>
          <w:szCs w:val="24"/>
        </w:rPr>
        <w:footnoteReference w:id="6"/>
      </w:r>
    </w:p>
    <w:p w14:paraId="0159136B" w14:textId="77777777"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r w:rsidRPr="00183629">
        <w:rPr>
          <w:rFonts w:ascii="Times New Roman" w:hAnsi="Times New Roman" w:cs="Times New Roman"/>
          <w:szCs w:val="24"/>
        </w:rPr>
        <w:tab/>
        <w:t xml:space="preserve">Since 1985, an increasing number of “natural” disasters have been ascribed, at least in part, to human environmental influence and as a result historians have increasingly been looking backwards with a more critical eye toward connections that could be drawn between what previously has been viewed as the separate disciplines of “natural history” and “human history”. Amongst this discussion, one term has come to embody this newly perceived relationship, </w:t>
      </w:r>
      <w:r w:rsidRPr="00183629">
        <w:rPr>
          <w:rFonts w:ascii="Times New Roman" w:hAnsi="Times New Roman" w:cs="Times New Roman"/>
          <w:i/>
          <w:iCs/>
          <w:szCs w:val="24"/>
        </w:rPr>
        <w:t>Anthropocene</w:t>
      </w:r>
      <w:r w:rsidRPr="00183629">
        <w:rPr>
          <w:rFonts w:ascii="Times New Roman" w:hAnsi="Times New Roman" w:cs="Times New Roman"/>
          <w:szCs w:val="24"/>
        </w:rPr>
        <w:t>; the age where, as Paul Crutzen remarked on the turn of the millennium, ‘the global effects of human activities have become clearly noticeable’.</w:t>
      </w:r>
      <w:r w:rsidRPr="00183629">
        <w:rPr>
          <w:rStyle w:val="FootnoteReference"/>
          <w:rFonts w:ascii="Times New Roman" w:hAnsi="Times New Roman" w:cs="Times New Roman"/>
          <w:szCs w:val="24"/>
        </w:rPr>
        <w:footnoteReference w:id="7"/>
      </w:r>
      <w:r w:rsidRPr="00183629">
        <w:rPr>
          <w:rFonts w:ascii="Times New Roman" w:hAnsi="Times New Roman" w:cs="Times New Roman"/>
          <w:szCs w:val="24"/>
        </w:rPr>
        <w:t xml:space="preserve"> In this new state of affairs the human had taken position as an integral element of the planet’s climatic, aquatic, and other earth systems. But how has the “human age” degraded nutritional and economic ecologies? And why did humans create the system of global, industrial, capitalistic agriculture that is primarily responsible for it?</w:t>
      </w:r>
    </w:p>
    <w:p w14:paraId="514A9ACE" w14:textId="77777777"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p>
    <w:p w14:paraId="3621ADC0" w14:textId="77777777" w:rsidR="00183629" w:rsidRPr="00183629" w:rsidRDefault="00183629" w:rsidP="00183629">
      <w:pPr>
        <w:autoSpaceDE w:val="0"/>
        <w:autoSpaceDN w:val="0"/>
        <w:adjustRightInd w:val="0"/>
        <w:spacing w:line="480" w:lineRule="auto"/>
        <w:jc w:val="center"/>
        <w:rPr>
          <w:rFonts w:ascii="Times New Roman" w:hAnsi="Times New Roman" w:cs="Times New Roman"/>
          <w:sz w:val="28"/>
          <w:szCs w:val="28"/>
        </w:rPr>
      </w:pPr>
      <w:r w:rsidRPr="00183629">
        <w:rPr>
          <w:rFonts w:ascii="Times New Roman" w:hAnsi="Times New Roman" w:cs="Times New Roman"/>
          <w:sz w:val="28"/>
          <w:szCs w:val="28"/>
        </w:rPr>
        <w:t>Ecosystems of Ideology</w:t>
      </w:r>
    </w:p>
    <w:p w14:paraId="451366AE" w14:textId="77777777"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r w:rsidRPr="00183629">
        <w:rPr>
          <w:rFonts w:ascii="Times New Roman" w:hAnsi="Times New Roman" w:cs="Times New Roman"/>
          <w:szCs w:val="24"/>
        </w:rPr>
        <w:t>Understanding ideology, poverty, and famine as biocultural aspects of the same system is essential in the Anthropocene. When pressure is applied to one part of the system, the others will be affected, be those pressures economic, psychological, or nutritional. In 1993 India saw flooding that killed 530 people and destroyed 1.2 million acres of crops and other flora.</w:t>
      </w:r>
      <w:r w:rsidRPr="00183629">
        <w:rPr>
          <w:rStyle w:val="FootnoteReference"/>
          <w:rFonts w:ascii="Times New Roman" w:hAnsi="Times New Roman" w:cs="Times New Roman"/>
          <w:szCs w:val="24"/>
        </w:rPr>
        <w:footnoteReference w:id="8"/>
      </w:r>
      <w:r w:rsidRPr="00183629">
        <w:rPr>
          <w:rFonts w:ascii="Times New Roman" w:hAnsi="Times New Roman" w:cs="Times New Roman"/>
          <w:szCs w:val="24"/>
        </w:rPr>
        <w:t xml:space="preserve"> To understand this, an approach is required that highlights three main factors of environment: the biotic, the abiotic, and the cultural. The biotic factors are those that include the biology and health of humans, but also those of the other life </w:t>
      </w:r>
      <w:r w:rsidRPr="00183629">
        <w:rPr>
          <w:rFonts w:ascii="Times New Roman" w:hAnsi="Times New Roman" w:cs="Times New Roman"/>
          <w:szCs w:val="24"/>
        </w:rPr>
        <w:lastRenderedPageBreak/>
        <w:t>forms that occupy the same environment. Abiotic factors involve the geography and climate of the environment, and cultural factors are manufactured anthropogenic elements that include ‘such phenomena as world-views, property and power’.</w:t>
      </w:r>
      <w:r w:rsidRPr="00183629">
        <w:rPr>
          <w:rStyle w:val="FootnoteReference"/>
          <w:rFonts w:ascii="Times New Roman" w:hAnsi="Times New Roman" w:cs="Times New Roman"/>
          <w:szCs w:val="24"/>
        </w:rPr>
        <w:footnoteReference w:id="9"/>
      </w:r>
      <w:r w:rsidRPr="00183629">
        <w:rPr>
          <w:rFonts w:ascii="Times New Roman" w:hAnsi="Times New Roman" w:cs="Times New Roman"/>
          <w:szCs w:val="24"/>
        </w:rPr>
        <w:t xml:space="preserve"> Understanding each of these factors in any given environment requires understanding of the other two. In other words, they must all be seen as variables of the ecosystem. In this case, increasing pollution in the atmosphere was responsible for creating a more intense greenhouse effect that lead to greater oceanic evaporation and more rainfall, followed by these floods that left millions of people homeless.</w:t>
      </w:r>
      <w:r w:rsidRPr="00183629">
        <w:rPr>
          <w:rStyle w:val="FootnoteReference"/>
          <w:rFonts w:ascii="Times New Roman" w:hAnsi="Times New Roman" w:cs="Times New Roman"/>
          <w:szCs w:val="24"/>
        </w:rPr>
        <w:footnoteReference w:id="10"/>
      </w:r>
      <w:r w:rsidRPr="00183629">
        <w:rPr>
          <w:rFonts w:ascii="Times New Roman" w:hAnsi="Times New Roman" w:cs="Times New Roman"/>
          <w:szCs w:val="24"/>
        </w:rPr>
        <w:t xml:space="preserve"> The flooding had also caused soil erosion that further impacted agricultural productivity during recovery and therefore increased nutritional stress. In this way the cultural (or ideological) drive of industrialisation in the market-economy acted as a force of oppression via abiotic and then biotic factors.</w:t>
      </w:r>
    </w:p>
    <w:p w14:paraId="14570970"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183629">
        <w:rPr>
          <w:rFonts w:ascii="Times New Roman" w:hAnsi="Times New Roman" w:cs="Times New Roman"/>
          <w:szCs w:val="24"/>
        </w:rPr>
        <w:t>Often such relationships are non-obvious, such as in how the mineral content of a community’s water will be based on the composition of the rock into which they have dug wells. Those with less natural fluoride available in their water, such as the people of Huila province in Columbia, for example, will have higher rates of tooth decay and thus more nutritional complications.</w:t>
      </w:r>
      <w:r w:rsidRPr="00183629">
        <w:rPr>
          <w:rFonts w:ascii="Times New Roman" w:hAnsi="Times New Roman" w:cs="Times New Roman"/>
          <w:szCs w:val="24"/>
          <w:vertAlign w:val="superscript"/>
        </w:rPr>
        <w:footnoteReference w:id="11"/>
      </w:r>
      <w:r w:rsidRPr="00183629">
        <w:rPr>
          <w:rFonts w:ascii="Times New Roman" w:hAnsi="Times New Roman" w:cs="Times New Roman"/>
          <w:szCs w:val="24"/>
        </w:rPr>
        <w:t xml:space="preserve"> On the other side, those with too much fluoride can suffer ‘enamel fluorosis’, impairing tooth development when young.</w:t>
      </w:r>
      <w:r w:rsidRPr="00183629">
        <w:rPr>
          <w:rFonts w:ascii="Times New Roman" w:hAnsi="Times New Roman" w:cs="Times New Roman"/>
          <w:szCs w:val="24"/>
          <w:vertAlign w:val="superscript"/>
        </w:rPr>
        <w:footnoteReference w:id="12"/>
      </w:r>
      <w:r w:rsidRPr="00183629">
        <w:rPr>
          <w:rFonts w:ascii="Times New Roman" w:hAnsi="Times New Roman" w:cs="Times New Roman"/>
          <w:szCs w:val="24"/>
        </w:rPr>
        <w:t xml:space="preserve"> Such environmental inhibitors can range from the relatively insignificant, as with the fluoride content of water, to far more serious, as with life expectancies in northern china reducing by 5 ½ years compared with the south from 1950 onwards. Yuyu Chen found that because of a cooler climate, air pollution in northern China had become considerably higher than in the south, due to the burning of </w:t>
      </w:r>
      <w:r w:rsidRPr="00183629">
        <w:rPr>
          <w:rFonts w:ascii="Times New Roman" w:hAnsi="Times New Roman" w:cs="Times New Roman"/>
          <w:szCs w:val="24"/>
        </w:rPr>
        <w:lastRenderedPageBreak/>
        <w:t>more coal, and this is by a large margin the deciding factor in the increased rate of cardiorespiratory deaths in the region.</w:t>
      </w:r>
      <w:r w:rsidRPr="00183629">
        <w:rPr>
          <w:rFonts w:ascii="Times New Roman" w:hAnsi="Times New Roman" w:cs="Times New Roman"/>
          <w:szCs w:val="24"/>
          <w:vertAlign w:val="superscript"/>
        </w:rPr>
        <w:footnoteReference w:id="13"/>
      </w:r>
    </w:p>
    <w:p w14:paraId="6A11DA90" w14:textId="6BE9487E"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183629">
        <w:rPr>
          <w:rFonts w:ascii="Times New Roman" w:hAnsi="Times New Roman" w:cs="Times New Roman"/>
          <w:szCs w:val="24"/>
        </w:rPr>
        <w:t xml:space="preserve">However, whilst the recent Anthropocene has seen a greater prevalence of human-induced environmental change, the scientific consensus is that humans have been contributing to the warming of the planet for </w:t>
      </w:r>
      <w:r w:rsidRPr="00183629">
        <w:rPr>
          <w:rFonts w:ascii="Times New Roman" w:hAnsi="Times New Roman" w:cs="Times New Roman"/>
          <w:i/>
          <w:iCs/>
          <w:szCs w:val="24"/>
        </w:rPr>
        <w:t xml:space="preserve">at least </w:t>
      </w:r>
      <w:r w:rsidRPr="00183629">
        <w:rPr>
          <w:rFonts w:ascii="Times New Roman" w:hAnsi="Times New Roman" w:cs="Times New Roman"/>
          <w:szCs w:val="24"/>
        </w:rPr>
        <w:t>a century, and historians note that humanity has been shaping the planet</w:t>
      </w:r>
      <w:r w:rsidR="00E06543">
        <w:rPr>
          <w:rFonts w:ascii="Times New Roman" w:hAnsi="Times New Roman" w:cs="Times New Roman"/>
          <w:szCs w:val="24"/>
        </w:rPr>
        <w:t>’</w:t>
      </w:r>
      <w:r w:rsidRPr="00183629">
        <w:rPr>
          <w:rFonts w:ascii="Times New Roman" w:hAnsi="Times New Roman" w:cs="Times New Roman"/>
          <w:szCs w:val="24"/>
        </w:rPr>
        <w:t xml:space="preserve">s ecosystems long before that. As Robert Goodland and Jeff Ahang explain in </w:t>
      </w:r>
      <w:r w:rsidRPr="00183629">
        <w:rPr>
          <w:rFonts w:ascii="Times New Roman" w:hAnsi="Times New Roman" w:cs="Times New Roman"/>
          <w:i/>
          <w:iCs/>
          <w:szCs w:val="24"/>
        </w:rPr>
        <w:t>Livestock and Climate Change</w:t>
      </w:r>
      <w:r w:rsidRPr="00183629">
        <w:rPr>
          <w:rFonts w:ascii="Times New Roman" w:hAnsi="Times New Roman" w:cs="Times New Roman"/>
          <w:szCs w:val="24"/>
        </w:rPr>
        <w:t>, measurements of rising undersea and atmospheric temperatures that fall far outside of what could be considered normal variability, are solid evidence of the impact that industrial agriculture and power production has had in producing global warming.</w:t>
      </w:r>
      <w:r w:rsidRPr="00183629">
        <w:rPr>
          <w:rStyle w:val="FootnoteReference"/>
          <w:rFonts w:ascii="Times New Roman" w:hAnsi="Times New Roman" w:cs="Times New Roman"/>
          <w:szCs w:val="24"/>
        </w:rPr>
        <w:footnoteReference w:id="14"/>
      </w:r>
      <w:r w:rsidRPr="00183629">
        <w:rPr>
          <w:rFonts w:ascii="Times New Roman" w:hAnsi="Times New Roman" w:cs="Times New Roman"/>
          <w:szCs w:val="24"/>
        </w:rPr>
        <w:t xml:space="preserve"> This phenomenon has polarized the earth’s climatic zones, shuffling them north in the northern hemisphere and south in the southern hemisphere, leading there to be the most dangerous changes in areas that were already “on the edges” of these zones. These areas most affected, being those of more extreme conditions, are typically those where marginalised peoples, flora, and fauna exist who have more specialist lifestyle requirements, making these changes all the more devastating. This is why, according to the UN, 99% of deaths attributable to climate change have occurred in developing nations.</w:t>
      </w:r>
      <w:r w:rsidRPr="00183629">
        <w:rPr>
          <w:rStyle w:val="FootnoteReference"/>
          <w:rFonts w:ascii="Times New Roman" w:hAnsi="Times New Roman" w:cs="Times New Roman"/>
          <w:szCs w:val="24"/>
        </w:rPr>
        <w:footnoteReference w:id="15"/>
      </w:r>
      <w:r w:rsidRPr="00183629">
        <w:rPr>
          <w:rFonts w:ascii="Times New Roman" w:hAnsi="Times New Roman" w:cs="Times New Roman"/>
          <w:szCs w:val="24"/>
        </w:rPr>
        <w:t xml:space="preserve"> As David Ciplet et al.</w:t>
      </w:r>
      <w:r w:rsidRPr="00183629">
        <w:rPr>
          <w:rFonts w:ascii="Times New Roman" w:hAnsi="Times New Roman" w:cs="Times New Roman"/>
          <w:i/>
          <w:iCs/>
          <w:szCs w:val="24"/>
        </w:rPr>
        <w:t xml:space="preserve"> </w:t>
      </w:r>
      <w:r w:rsidRPr="00183629">
        <w:rPr>
          <w:rFonts w:ascii="Times New Roman" w:hAnsi="Times New Roman" w:cs="Times New Roman"/>
          <w:szCs w:val="24"/>
        </w:rPr>
        <w:t xml:space="preserve">explain in </w:t>
      </w:r>
      <w:r w:rsidRPr="00183629">
        <w:rPr>
          <w:rFonts w:ascii="Times New Roman" w:hAnsi="Times New Roman" w:cs="Times New Roman"/>
          <w:i/>
          <w:iCs/>
          <w:szCs w:val="24"/>
        </w:rPr>
        <w:t>Power in a warming world</w:t>
      </w:r>
      <w:r w:rsidRPr="00183629">
        <w:rPr>
          <w:rFonts w:ascii="Times New Roman" w:hAnsi="Times New Roman" w:cs="Times New Roman"/>
          <w:szCs w:val="24"/>
        </w:rPr>
        <w:t>, the advent of the Anthropocene has only increased the ways social inequality and poverty translates into poor health, through factors such as increases in stress hormones, exposure to dangerous toxins, and diminished access to healthcare.</w:t>
      </w:r>
      <w:r w:rsidRPr="00183629">
        <w:rPr>
          <w:rFonts w:ascii="Times New Roman" w:hAnsi="Times New Roman" w:cs="Times New Roman"/>
          <w:szCs w:val="24"/>
          <w:vertAlign w:val="superscript"/>
        </w:rPr>
        <w:footnoteReference w:id="16"/>
      </w:r>
      <w:r w:rsidRPr="00183629">
        <w:rPr>
          <w:rFonts w:ascii="Times New Roman" w:hAnsi="Times New Roman" w:cs="Times New Roman"/>
          <w:szCs w:val="24"/>
        </w:rPr>
        <w:t xml:space="preserve"> Those living in poverty are more likely to live near toxic sites, such </w:t>
      </w:r>
      <w:r w:rsidR="00823348">
        <w:rPr>
          <w:rFonts w:ascii="Times New Roman" w:hAnsi="Times New Roman" w:cs="Times New Roman"/>
          <w:szCs w:val="24"/>
        </w:rPr>
        <w:t xml:space="preserve">as </w:t>
      </w:r>
      <w:r w:rsidRPr="00183629">
        <w:rPr>
          <w:rFonts w:ascii="Times New Roman" w:hAnsi="Times New Roman" w:cs="Times New Roman"/>
          <w:szCs w:val="24"/>
        </w:rPr>
        <w:t>residents living alongside the oil fields of the Niger delta, 60% of which say their health is being affected by air, water, and land pollution.</w:t>
      </w:r>
      <w:r w:rsidRPr="00183629">
        <w:rPr>
          <w:rStyle w:val="FootnoteReference"/>
          <w:rFonts w:ascii="Times New Roman" w:hAnsi="Times New Roman" w:cs="Times New Roman"/>
          <w:szCs w:val="24"/>
        </w:rPr>
        <w:footnoteReference w:id="17"/>
      </w:r>
      <w:r w:rsidRPr="00183629">
        <w:rPr>
          <w:rFonts w:ascii="Times New Roman" w:hAnsi="Times New Roman" w:cs="Times New Roman"/>
          <w:szCs w:val="24"/>
        </w:rPr>
        <w:t xml:space="preserve"> As fossil fuels become scarcer, </w:t>
      </w:r>
      <w:r w:rsidRPr="00183629">
        <w:rPr>
          <w:rFonts w:ascii="Times New Roman" w:hAnsi="Times New Roman" w:cs="Times New Roman"/>
          <w:szCs w:val="24"/>
        </w:rPr>
        <w:lastRenderedPageBreak/>
        <w:t>methods of extracting them become more inefficient in terms of both energy use but also other resources such as water. Techniques such as hydraulic fracturing need lots of fresh water to operate, and pollut</w:t>
      </w:r>
      <w:r w:rsidR="004C2791">
        <w:rPr>
          <w:rFonts w:ascii="Times New Roman" w:hAnsi="Times New Roman" w:cs="Times New Roman"/>
          <w:szCs w:val="24"/>
        </w:rPr>
        <w:t>e</w:t>
      </w:r>
      <w:r w:rsidRPr="00183629">
        <w:rPr>
          <w:rFonts w:ascii="Times New Roman" w:hAnsi="Times New Roman" w:cs="Times New Roman"/>
          <w:szCs w:val="24"/>
        </w:rPr>
        <w:t xml:space="preserve"> local water cycles, thus competing for the valuable resource with growing human populations.</w:t>
      </w:r>
      <w:r w:rsidRPr="00183629">
        <w:rPr>
          <w:rFonts w:ascii="Times New Roman" w:hAnsi="Times New Roman" w:cs="Times New Roman"/>
          <w:szCs w:val="24"/>
          <w:vertAlign w:val="superscript"/>
        </w:rPr>
        <w:footnoteReference w:id="18"/>
      </w:r>
    </w:p>
    <w:p w14:paraId="49FAAE17" w14:textId="77777777"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p>
    <w:p w14:paraId="30F571C9" w14:textId="77777777" w:rsidR="00183629" w:rsidRPr="00183629" w:rsidRDefault="00183629" w:rsidP="00183629">
      <w:pPr>
        <w:autoSpaceDE w:val="0"/>
        <w:autoSpaceDN w:val="0"/>
        <w:adjustRightInd w:val="0"/>
        <w:spacing w:line="480" w:lineRule="auto"/>
        <w:jc w:val="center"/>
        <w:rPr>
          <w:rFonts w:ascii="Times New Roman" w:hAnsi="Times New Roman" w:cs="Times New Roman"/>
          <w:sz w:val="28"/>
          <w:szCs w:val="28"/>
        </w:rPr>
      </w:pPr>
      <w:r w:rsidRPr="00183629">
        <w:rPr>
          <w:rFonts w:ascii="Times New Roman" w:hAnsi="Times New Roman" w:cs="Times New Roman"/>
          <w:sz w:val="28"/>
          <w:szCs w:val="28"/>
        </w:rPr>
        <w:t>Anthropocene Ideology</w:t>
      </w:r>
    </w:p>
    <w:p w14:paraId="531B0628" w14:textId="77777777"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r w:rsidRPr="00183629">
        <w:rPr>
          <w:rFonts w:ascii="Times New Roman" w:hAnsi="Times New Roman" w:cs="Times New Roman"/>
          <w:szCs w:val="24"/>
        </w:rPr>
        <w:t>For historians, “Anthropocene” is not only the recent epoch however, but a framework of methodology, studying the history of environmental events</w:t>
      </w:r>
      <w:r w:rsidRPr="00183629">
        <w:rPr>
          <w:rFonts w:ascii="Times New Roman" w:hAnsi="Times New Roman" w:cs="Times New Roman"/>
          <w:i/>
          <w:iCs/>
          <w:szCs w:val="24"/>
        </w:rPr>
        <w:t xml:space="preserve"> </w:t>
      </w:r>
      <w:r w:rsidRPr="00183629">
        <w:rPr>
          <w:rFonts w:ascii="Times New Roman" w:hAnsi="Times New Roman" w:cs="Times New Roman"/>
          <w:szCs w:val="24"/>
        </w:rPr>
        <w:t>in the context of Anthropocene. To this end, the material culture of civilisations is an essential source. For example we can use palaeopathological methods to look at the skeletal structure of Mayans from the 6</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to 10</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centuries, as William Haviland did in the 1960s, and note that people were growing shorter over time.</w:t>
      </w:r>
      <w:r w:rsidRPr="00183629">
        <w:rPr>
          <w:rStyle w:val="FootnoteReference"/>
          <w:rFonts w:ascii="Times New Roman" w:hAnsi="Times New Roman" w:cs="Times New Roman"/>
          <w:szCs w:val="24"/>
        </w:rPr>
        <w:footnoteReference w:id="19"/>
      </w:r>
      <w:r w:rsidRPr="00183629">
        <w:rPr>
          <w:rFonts w:ascii="Times New Roman" w:hAnsi="Times New Roman" w:cs="Times New Roman"/>
          <w:szCs w:val="24"/>
        </w:rPr>
        <w:t xml:space="preserve"> Simultaneously we see fewer animal bones in the record, indicating a reduction in food availability. At the same time, however, those skeletons of the elite that were entombed did not change in size, showing us how the nutritional stress on the population had both environmental and societal influences. This historical practice of</w:t>
      </w:r>
      <w:r w:rsidRPr="00D77381">
        <w:rPr>
          <w:rFonts w:ascii="Times New Roman" w:hAnsi="Times New Roman" w:cs="Times New Roman"/>
          <w:szCs w:val="24"/>
        </w:rPr>
        <w:t xml:space="preserve"> ‘medical ecology’ is still an emerging discipline</w:t>
      </w:r>
      <w:r w:rsidRPr="00183629">
        <w:rPr>
          <w:rFonts w:ascii="Times New Roman" w:hAnsi="Times New Roman" w:cs="Times New Roman"/>
          <w:szCs w:val="24"/>
        </w:rPr>
        <w:t xml:space="preserve"> and requires h</w:t>
      </w:r>
      <w:r w:rsidRPr="00D77381">
        <w:rPr>
          <w:rFonts w:ascii="Times New Roman" w:hAnsi="Times New Roman" w:cs="Times New Roman"/>
          <w:szCs w:val="24"/>
        </w:rPr>
        <w:t>istorians not only to appreciate which environmental factors affect a person’s health, but how those consequences then tie back into the earth-systems they inhabit.</w:t>
      </w:r>
      <w:r w:rsidRPr="00183629">
        <w:rPr>
          <w:rStyle w:val="FootnoteReference"/>
          <w:rFonts w:ascii="Times New Roman" w:hAnsi="Times New Roman" w:cs="Times New Roman"/>
          <w:szCs w:val="24"/>
        </w:rPr>
        <w:footnoteReference w:id="20"/>
      </w:r>
      <w:r w:rsidRPr="00D77381">
        <w:rPr>
          <w:rFonts w:ascii="Times New Roman" w:hAnsi="Times New Roman" w:cs="Times New Roman"/>
          <w:szCs w:val="24"/>
        </w:rPr>
        <w:t xml:space="preserve"> </w:t>
      </w:r>
      <w:r w:rsidRPr="00183629">
        <w:rPr>
          <w:rFonts w:ascii="Times New Roman" w:hAnsi="Times New Roman" w:cs="Times New Roman"/>
          <w:szCs w:val="24"/>
        </w:rPr>
        <w:t>Famine and poverty exist in cycles, or spirals, that create the conditions for their own continued deterioration.</w:t>
      </w:r>
    </w:p>
    <w:p w14:paraId="4EC81A13"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37207A">
        <w:rPr>
          <w:rFonts w:ascii="Times New Roman" w:hAnsi="Times New Roman" w:cs="Times New Roman"/>
          <w:szCs w:val="24"/>
        </w:rPr>
        <w:t xml:space="preserve">Anthropogenic climate change </w:t>
      </w:r>
      <w:r w:rsidRPr="00183629">
        <w:rPr>
          <w:rFonts w:ascii="Times New Roman" w:hAnsi="Times New Roman" w:cs="Times New Roman"/>
          <w:szCs w:val="24"/>
        </w:rPr>
        <w:t>has contributed</w:t>
      </w:r>
      <w:r w:rsidRPr="0037207A">
        <w:rPr>
          <w:rFonts w:ascii="Times New Roman" w:hAnsi="Times New Roman" w:cs="Times New Roman"/>
          <w:szCs w:val="24"/>
        </w:rPr>
        <w:t xml:space="preserve"> to the cycle of poverty by putting excess stress on individuals and communities that </w:t>
      </w:r>
      <w:r w:rsidRPr="00183629">
        <w:rPr>
          <w:rFonts w:ascii="Times New Roman" w:hAnsi="Times New Roman" w:cs="Times New Roman"/>
          <w:szCs w:val="24"/>
        </w:rPr>
        <w:t>did</w:t>
      </w:r>
      <w:r w:rsidRPr="0037207A">
        <w:rPr>
          <w:rFonts w:ascii="Times New Roman" w:hAnsi="Times New Roman" w:cs="Times New Roman"/>
          <w:szCs w:val="24"/>
        </w:rPr>
        <w:t xml:space="preserve"> not have the resources, be those economic, political, agrarian </w:t>
      </w:r>
      <w:r w:rsidRPr="0037207A">
        <w:rPr>
          <w:rFonts w:ascii="Times New Roman" w:hAnsi="Times New Roman" w:cs="Times New Roman"/>
          <w:szCs w:val="24"/>
        </w:rPr>
        <w:lastRenderedPageBreak/>
        <w:t>or otherwise, to cope with the change.</w:t>
      </w:r>
      <w:r w:rsidRPr="0037207A">
        <w:rPr>
          <w:rFonts w:ascii="Times New Roman" w:hAnsi="Times New Roman" w:cs="Times New Roman"/>
          <w:szCs w:val="24"/>
          <w:vertAlign w:val="superscript"/>
        </w:rPr>
        <w:footnoteReference w:id="21"/>
      </w:r>
      <w:r w:rsidRPr="0037207A">
        <w:rPr>
          <w:rFonts w:ascii="Times New Roman" w:hAnsi="Times New Roman" w:cs="Times New Roman"/>
          <w:szCs w:val="24"/>
        </w:rPr>
        <w:t xml:space="preserve"> For example, as human settlements </w:t>
      </w:r>
      <w:r w:rsidRPr="00183629">
        <w:rPr>
          <w:rFonts w:ascii="Times New Roman" w:hAnsi="Times New Roman" w:cs="Times New Roman"/>
          <w:szCs w:val="24"/>
        </w:rPr>
        <w:t>were</w:t>
      </w:r>
      <w:r w:rsidRPr="0037207A">
        <w:rPr>
          <w:rFonts w:ascii="Times New Roman" w:hAnsi="Times New Roman" w:cs="Times New Roman"/>
          <w:szCs w:val="24"/>
        </w:rPr>
        <w:t xml:space="preserve"> increasingly built, or climatically moved into, areas of the world that previously </w:t>
      </w:r>
      <w:r w:rsidRPr="00183629">
        <w:rPr>
          <w:rFonts w:ascii="Times New Roman" w:hAnsi="Times New Roman" w:cs="Times New Roman"/>
          <w:szCs w:val="24"/>
        </w:rPr>
        <w:t>were</w:t>
      </w:r>
      <w:r w:rsidRPr="0037207A">
        <w:rPr>
          <w:rFonts w:ascii="Times New Roman" w:hAnsi="Times New Roman" w:cs="Times New Roman"/>
          <w:szCs w:val="24"/>
        </w:rPr>
        <w:t xml:space="preserve"> too hot to be hospitable</w:t>
      </w:r>
      <w:r w:rsidRPr="00183629">
        <w:rPr>
          <w:rFonts w:ascii="Times New Roman" w:hAnsi="Times New Roman" w:cs="Times New Roman"/>
          <w:szCs w:val="24"/>
        </w:rPr>
        <w:t xml:space="preserve"> in the 20</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century</w:t>
      </w:r>
      <w:r w:rsidRPr="0037207A">
        <w:rPr>
          <w:rFonts w:ascii="Times New Roman" w:hAnsi="Times New Roman" w:cs="Times New Roman"/>
          <w:szCs w:val="24"/>
        </w:rPr>
        <w:t xml:space="preserve">, such as in Saudi Arabia, more and more people </w:t>
      </w:r>
      <w:r w:rsidRPr="00183629">
        <w:rPr>
          <w:rFonts w:ascii="Times New Roman" w:hAnsi="Times New Roman" w:cs="Times New Roman"/>
          <w:szCs w:val="24"/>
        </w:rPr>
        <w:t>moved</w:t>
      </w:r>
      <w:r w:rsidRPr="0037207A">
        <w:rPr>
          <w:rFonts w:ascii="Times New Roman" w:hAnsi="Times New Roman" w:cs="Times New Roman"/>
          <w:szCs w:val="24"/>
        </w:rPr>
        <w:t xml:space="preserve"> in</w:t>
      </w:r>
      <w:r w:rsidRPr="00183629">
        <w:rPr>
          <w:rFonts w:ascii="Times New Roman" w:hAnsi="Times New Roman" w:cs="Times New Roman"/>
          <w:szCs w:val="24"/>
        </w:rPr>
        <w:t>to</w:t>
      </w:r>
      <w:r w:rsidRPr="0037207A">
        <w:rPr>
          <w:rFonts w:ascii="Times New Roman" w:hAnsi="Times New Roman" w:cs="Times New Roman"/>
          <w:szCs w:val="24"/>
        </w:rPr>
        <w:t xml:space="preserve"> </w:t>
      </w:r>
      <w:r w:rsidRPr="00183629">
        <w:rPr>
          <w:rFonts w:ascii="Times New Roman" w:hAnsi="Times New Roman" w:cs="Times New Roman"/>
          <w:szCs w:val="24"/>
        </w:rPr>
        <w:t>housing</w:t>
      </w:r>
      <w:r w:rsidRPr="0037207A">
        <w:rPr>
          <w:rFonts w:ascii="Times New Roman" w:hAnsi="Times New Roman" w:cs="Times New Roman"/>
          <w:szCs w:val="24"/>
        </w:rPr>
        <w:t xml:space="preserve"> that </w:t>
      </w:r>
      <w:r w:rsidRPr="00183629">
        <w:rPr>
          <w:rFonts w:ascii="Times New Roman" w:hAnsi="Times New Roman" w:cs="Times New Roman"/>
          <w:szCs w:val="24"/>
        </w:rPr>
        <w:t>was</w:t>
      </w:r>
      <w:r w:rsidRPr="0037207A">
        <w:rPr>
          <w:rFonts w:ascii="Times New Roman" w:hAnsi="Times New Roman" w:cs="Times New Roman"/>
          <w:szCs w:val="24"/>
        </w:rPr>
        <w:t xml:space="preserve"> designed explicitly with air conditioning in mind. However, problems </w:t>
      </w:r>
      <w:r w:rsidRPr="00183629">
        <w:rPr>
          <w:rFonts w:ascii="Times New Roman" w:hAnsi="Times New Roman" w:cs="Times New Roman"/>
          <w:szCs w:val="24"/>
        </w:rPr>
        <w:t>arose</w:t>
      </w:r>
      <w:r w:rsidRPr="0037207A">
        <w:rPr>
          <w:rFonts w:ascii="Times New Roman" w:hAnsi="Times New Roman" w:cs="Times New Roman"/>
          <w:szCs w:val="24"/>
        </w:rPr>
        <w:t xml:space="preserve"> for people living in</w:t>
      </w:r>
      <w:r w:rsidRPr="00183629">
        <w:rPr>
          <w:rFonts w:ascii="Times New Roman" w:hAnsi="Times New Roman" w:cs="Times New Roman"/>
          <w:szCs w:val="24"/>
        </w:rPr>
        <w:t xml:space="preserve"> poverty who could not afford this “convenience”</w:t>
      </w:r>
      <w:r w:rsidRPr="0037207A">
        <w:rPr>
          <w:rFonts w:ascii="Times New Roman" w:hAnsi="Times New Roman" w:cs="Times New Roman"/>
          <w:szCs w:val="24"/>
        </w:rPr>
        <w:t xml:space="preserve"> </w:t>
      </w:r>
      <w:r w:rsidRPr="00183629">
        <w:rPr>
          <w:rFonts w:ascii="Times New Roman" w:hAnsi="Times New Roman" w:cs="Times New Roman"/>
          <w:szCs w:val="24"/>
        </w:rPr>
        <w:t>and</w:t>
      </w:r>
      <w:r w:rsidRPr="0037207A">
        <w:rPr>
          <w:rFonts w:ascii="Times New Roman" w:hAnsi="Times New Roman" w:cs="Times New Roman"/>
          <w:szCs w:val="24"/>
        </w:rPr>
        <w:t xml:space="preserve"> had their economic and physical health threatened as a result</w:t>
      </w:r>
      <w:r w:rsidRPr="00183629">
        <w:rPr>
          <w:rFonts w:ascii="Times New Roman" w:hAnsi="Times New Roman" w:cs="Times New Roman"/>
          <w:szCs w:val="24"/>
        </w:rPr>
        <w:t xml:space="preserve"> of what is called </w:t>
      </w:r>
      <w:r w:rsidRPr="0037207A">
        <w:rPr>
          <w:rFonts w:ascii="Times New Roman" w:hAnsi="Times New Roman" w:cs="Times New Roman"/>
          <w:szCs w:val="24"/>
        </w:rPr>
        <w:t>‘cooling poverty’.</w:t>
      </w:r>
      <w:r w:rsidRPr="0037207A">
        <w:rPr>
          <w:rFonts w:ascii="Times New Roman" w:hAnsi="Times New Roman" w:cs="Times New Roman"/>
          <w:szCs w:val="24"/>
          <w:vertAlign w:val="superscript"/>
        </w:rPr>
        <w:footnoteReference w:id="22"/>
      </w:r>
      <w:r w:rsidRPr="00183629">
        <w:rPr>
          <w:rFonts w:ascii="Times New Roman" w:hAnsi="Times New Roman" w:cs="Times New Roman"/>
          <w:szCs w:val="24"/>
        </w:rPr>
        <w:t xml:space="preserve"> T</w:t>
      </w:r>
      <w:r w:rsidRPr="000A50C9">
        <w:rPr>
          <w:rFonts w:ascii="Times New Roman" w:hAnsi="Times New Roman" w:cs="Times New Roman"/>
          <w:szCs w:val="24"/>
        </w:rPr>
        <w:t>o use Nancy Romero-Daza’s term for describing the relationship between violence, drug abuse, prostitution, and HIV/AIDS</w:t>
      </w:r>
      <w:r w:rsidRPr="00183629">
        <w:rPr>
          <w:rFonts w:ascii="Times New Roman" w:hAnsi="Times New Roman" w:cs="Times New Roman"/>
          <w:szCs w:val="24"/>
        </w:rPr>
        <w:t>, t</w:t>
      </w:r>
      <w:r w:rsidRPr="000A50C9">
        <w:rPr>
          <w:rFonts w:ascii="Times New Roman" w:hAnsi="Times New Roman" w:cs="Times New Roman"/>
          <w:szCs w:val="24"/>
        </w:rPr>
        <w:t xml:space="preserve">he relationship between ideology, poverty, famine, and environment is </w:t>
      </w:r>
      <w:r w:rsidRPr="000A50C9">
        <w:rPr>
          <w:rFonts w:ascii="Times New Roman" w:hAnsi="Times New Roman" w:cs="Times New Roman"/>
          <w:i/>
          <w:iCs/>
          <w:szCs w:val="24"/>
        </w:rPr>
        <w:t>syndemic</w:t>
      </w:r>
      <w:r w:rsidRPr="000A50C9">
        <w:rPr>
          <w:rFonts w:ascii="Times New Roman" w:hAnsi="Times New Roman" w:cs="Times New Roman"/>
          <w:szCs w:val="24"/>
        </w:rPr>
        <w:t>.</w:t>
      </w:r>
      <w:r w:rsidRPr="000A50C9">
        <w:rPr>
          <w:rFonts w:ascii="Times New Roman" w:hAnsi="Times New Roman" w:cs="Times New Roman"/>
          <w:szCs w:val="24"/>
          <w:vertAlign w:val="superscript"/>
        </w:rPr>
        <w:footnoteReference w:id="23"/>
      </w:r>
      <w:r w:rsidRPr="000A50C9">
        <w:rPr>
          <w:rFonts w:ascii="Times New Roman" w:hAnsi="Times New Roman" w:cs="Times New Roman"/>
          <w:szCs w:val="24"/>
        </w:rPr>
        <w:t xml:space="preserve"> They are ‘not simply concurrent problems, but rather</w:t>
      </w:r>
      <w:r w:rsidRPr="00183629">
        <w:rPr>
          <w:rFonts w:ascii="Times New Roman" w:hAnsi="Times New Roman" w:cs="Times New Roman"/>
          <w:szCs w:val="24"/>
        </w:rPr>
        <w:t xml:space="preserve"> </w:t>
      </w:r>
      <w:r w:rsidRPr="000A50C9">
        <w:rPr>
          <w:rFonts w:ascii="Times New Roman" w:hAnsi="Times New Roman" w:cs="Times New Roman"/>
          <w:szCs w:val="24"/>
        </w:rPr>
        <w:t>constitute a set of mutually reinforcing interconnected epidemics’.</w:t>
      </w:r>
      <w:r w:rsidRPr="000A50C9">
        <w:rPr>
          <w:rFonts w:ascii="Times New Roman" w:hAnsi="Times New Roman" w:cs="Times New Roman"/>
          <w:szCs w:val="24"/>
          <w:vertAlign w:val="superscript"/>
        </w:rPr>
        <w:footnoteReference w:id="24"/>
      </w:r>
      <w:r w:rsidRPr="000A50C9">
        <w:rPr>
          <w:rFonts w:ascii="Times New Roman" w:hAnsi="Times New Roman" w:cs="Times New Roman"/>
          <w:szCs w:val="24"/>
        </w:rPr>
        <w:t xml:space="preserve"> For example, when in 1998 the Nipah virus broke out in Malaysia, </w:t>
      </w:r>
      <w:r w:rsidRPr="00183629">
        <w:rPr>
          <w:rFonts w:ascii="Times New Roman" w:hAnsi="Times New Roman" w:cs="Times New Roman"/>
          <w:szCs w:val="24"/>
        </w:rPr>
        <w:t xml:space="preserve">all </w:t>
      </w:r>
      <w:r w:rsidRPr="000A50C9">
        <w:rPr>
          <w:rFonts w:ascii="Times New Roman" w:hAnsi="Times New Roman" w:cs="Times New Roman"/>
          <w:szCs w:val="24"/>
        </w:rPr>
        <w:t xml:space="preserve">those who suffered it were </w:t>
      </w:r>
      <w:r w:rsidRPr="00183629">
        <w:rPr>
          <w:rFonts w:ascii="Times New Roman" w:hAnsi="Times New Roman" w:cs="Times New Roman"/>
          <w:szCs w:val="24"/>
        </w:rPr>
        <w:t xml:space="preserve">not Malaysian but </w:t>
      </w:r>
      <w:r w:rsidRPr="000A50C9">
        <w:rPr>
          <w:rFonts w:ascii="Times New Roman" w:hAnsi="Times New Roman" w:cs="Times New Roman"/>
          <w:szCs w:val="24"/>
        </w:rPr>
        <w:t>Chinese</w:t>
      </w:r>
      <w:r w:rsidRPr="00183629">
        <w:rPr>
          <w:rFonts w:ascii="Times New Roman" w:hAnsi="Times New Roman" w:cs="Times New Roman"/>
          <w:szCs w:val="24"/>
        </w:rPr>
        <w:t>. This was</w:t>
      </w:r>
      <w:r w:rsidRPr="000A50C9">
        <w:rPr>
          <w:rFonts w:ascii="Times New Roman" w:hAnsi="Times New Roman" w:cs="Times New Roman"/>
          <w:szCs w:val="24"/>
        </w:rPr>
        <w:t xml:space="preserve"> not because </w:t>
      </w:r>
      <w:r w:rsidRPr="00183629">
        <w:rPr>
          <w:rFonts w:ascii="Times New Roman" w:hAnsi="Times New Roman" w:cs="Times New Roman"/>
          <w:szCs w:val="24"/>
        </w:rPr>
        <w:t>the Chinese</w:t>
      </w:r>
      <w:r w:rsidRPr="000A50C9">
        <w:rPr>
          <w:rFonts w:ascii="Times New Roman" w:hAnsi="Times New Roman" w:cs="Times New Roman"/>
          <w:szCs w:val="24"/>
        </w:rPr>
        <w:t xml:space="preserve"> were biologically vulnerable compared to the rest of the</w:t>
      </w:r>
      <w:r w:rsidRPr="00183629">
        <w:rPr>
          <w:rFonts w:ascii="Times New Roman" w:hAnsi="Times New Roman" w:cs="Times New Roman"/>
          <w:szCs w:val="24"/>
        </w:rPr>
        <w:t xml:space="preserve"> </w:t>
      </w:r>
      <w:r w:rsidRPr="000A50C9">
        <w:rPr>
          <w:rFonts w:ascii="Times New Roman" w:hAnsi="Times New Roman" w:cs="Times New Roman"/>
          <w:szCs w:val="24"/>
        </w:rPr>
        <w:t xml:space="preserve">population, but because they were the people who provided cheap labour on the pig farms where </w:t>
      </w:r>
      <w:r w:rsidRPr="00183629">
        <w:rPr>
          <w:rFonts w:ascii="Times New Roman" w:hAnsi="Times New Roman" w:cs="Times New Roman"/>
          <w:szCs w:val="24"/>
        </w:rPr>
        <w:t>t</w:t>
      </w:r>
      <w:r w:rsidRPr="000A50C9">
        <w:rPr>
          <w:rFonts w:ascii="Times New Roman" w:hAnsi="Times New Roman" w:cs="Times New Roman"/>
          <w:szCs w:val="24"/>
        </w:rPr>
        <w:t>he disease originated.</w:t>
      </w:r>
      <w:r w:rsidRPr="000A50C9">
        <w:rPr>
          <w:rFonts w:ascii="Times New Roman" w:hAnsi="Times New Roman" w:cs="Times New Roman"/>
          <w:szCs w:val="24"/>
          <w:vertAlign w:val="superscript"/>
        </w:rPr>
        <w:footnoteReference w:id="25"/>
      </w:r>
      <w:r w:rsidRPr="00183629">
        <w:rPr>
          <w:rFonts w:ascii="Times New Roman" w:hAnsi="Times New Roman" w:cs="Times New Roman"/>
          <w:szCs w:val="24"/>
        </w:rPr>
        <w:t xml:space="preserve"> Given this context, an even more appropriate term to describe the relationship between poverty, famine, and ecological degradation in the Anthropocene would be </w:t>
      </w:r>
      <w:r w:rsidRPr="00183629">
        <w:rPr>
          <w:rFonts w:ascii="Times New Roman" w:hAnsi="Times New Roman" w:cs="Times New Roman"/>
          <w:i/>
          <w:iCs/>
          <w:szCs w:val="24"/>
        </w:rPr>
        <w:t>ecosyndemic</w:t>
      </w:r>
      <w:r w:rsidRPr="00183629">
        <w:rPr>
          <w:rFonts w:ascii="Times New Roman" w:hAnsi="Times New Roman" w:cs="Times New Roman"/>
          <w:szCs w:val="24"/>
        </w:rPr>
        <w:t>, an idea that places emphasis on environmental factors in the creation of poverty and famine in the 20</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and 21</w:t>
      </w:r>
      <w:r w:rsidRPr="00183629">
        <w:rPr>
          <w:rFonts w:ascii="Times New Roman" w:hAnsi="Times New Roman" w:cs="Times New Roman"/>
          <w:szCs w:val="24"/>
          <w:vertAlign w:val="superscript"/>
        </w:rPr>
        <w:t>st</w:t>
      </w:r>
      <w:r w:rsidRPr="00183629">
        <w:rPr>
          <w:rFonts w:ascii="Times New Roman" w:hAnsi="Times New Roman" w:cs="Times New Roman"/>
          <w:szCs w:val="24"/>
        </w:rPr>
        <w:t xml:space="preserve"> centuries.</w:t>
      </w:r>
      <w:r w:rsidRPr="00183629">
        <w:rPr>
          <w:rFonts w:ascii="Times New Roman" w:hAnsi="Times New Roman" w:cs="Times New Roman"/>
          <w:szCs w:val="24"/>
          <w:vertAlign w:val="superscript"/>
        </w:rPr>
        <w:footnoteReference w:id="26"/>
      </w:r>
    </w:p>
    <w:p w14:paraId="6D9D3A2B" w14:textId="6A2FD643"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183629">
        <w:rPr>
          <w:rFonts w:ascii="Times New Roman" w:hAnsi="Times New Roman" w:cs="Times New Roman"/>
          <w:szCs w:val="24"/>
        </w:rPr>
        <w:t xml:space="preserve">Experiences of poverty and famine are ideological, in that they exist within a set of power relationships between those experiencing them, and those not. As Ann McElroy and Patricia Townend describe in </w:t>
      </w:r>
      <w:r w:rsidRPr="00183629">
        <w:rPr>
          <w:rFonts w:ascii="Times New Roman" w:hAnsi="Times New Roman" w:cs="Times New Roman"/>
          <w:i/>
          <w:iCs/>
          <w:szCs w:val="24"/>
        </w:rPr>
        <w:t>Medical Anthropology in Ecological Perspective</w:t>
      </w:r>
      <w:r w:rsidRPr="00183629">
        <w:rPr>
          <w:rFonts w:ascii="Times New Roman" w:hAnsi="Times New Roman" w:cs="Times New Roman"/>
          <w:szCs w:val="24"/>
        </w:rPr>
        <w:t>: ‘Sickness</w:t>
      </w:r>
      <w:r w:rsidRPr="00183629">
        <w:rPr>
          <w:rFonts w:ascii="Times New Roman" w:hAnsi="Times New Roman" w:cs="Times New Roman"/>
          <w:b/>
          <w:bCs/>
          <w:szCs w:val="24"/>
        </w:rPr>
        <w:t xml:space="preserve"> </w:t>
      </w:r>
      <w:r w:rsidRPr="00183629">
        <w:rPr>
          <w:rFonts w:ascii="Times New Roman" w:hAnsi="Times New Roman" w:cs="Times New Roman"/>
          <w:szCs w:val="24"/>
        </w:rPr>
        <w:t xml:space="preserve">is a social category - the sick </w:t>
      </w:r>
      <w:r w:rsidRPr="00183629">
        <w:rPr>
          <w:rFonts w:ascii="Times New Roman" w:hAnsi="Times New Roman" w:cs="Times New Roman"/>
          <w:szCs w:val="24"/>
        </w:rPr>
        <w:lastRenderedPageBreak/>
        <w:t>role in a particular society, the way a person who is ill is expected to behave’.</w:t>
      </w:r>
      <w:r w:rsidRPr="00183629">
        <w:rPr>
          <w:rStyle w:val="FootnoteReference"/>
          <w:rFonts w:ascii="Times New Roman" w:hAnsi="Times New Roman" w:cs="Times New Roman"/>
          <w:szCs w:val="24"/>
        </w:rPr>
        <w:footnoteReference w:id="27"/>
      </w:r>
      <w:r w:rsidRPr="00183629">
        <w:rPr>
          <w:rFonts w:ascii="Times New Roman" w:hAnsi="Times New Roman" w:cs="Times New Roman"/>
          <w:szCs w:val="24"/>
        </w:rPr>
        <w:t xml:space="preserve"> Looking at poverty and famine in the Anthropocene, these relationships are more complex. If the whole world is “sick” in the Anthropocene, who plays the doctor? With the 1983 Ethiopian drought, it was the nations that had caused the disaster to begin with, inadvertently or otherwise, who acted as healers by providing financial support through the “live aid” event. In these western nations, mid-20</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century optimism, particularly in America, was typified by an ideological belief that technological advances in nuclear energy, antibiotics, and agriculture with the “green revolution” would be able to create a world without poverty, disease, or hunger.</w:t>
      </w:r>
      <w:r w:rsidRPr="00183629">
        <w:rPr>
          <w:rStyle w:val="FootnoteReference"/>
          <w:rFonts w:ascii="Times New Roman" w:hAnsi="Times New Roman" w:cs="Times New Roman"/>
          <w:szCs w:val="24"/>
        </w:rPr>
        <w:footnoteReference w:id="28"/>
      </w:r>
      <w:r w:rsidRPr="00183629">
        <w:rPr>
          <w:rFonts w:ascii="Times New Roman" w:hAnsi="Times New Roman" w:cs="Times New Roman"/>
          <w:szCs w:val="24"/>
        </w:rPr>
        <w:t xml:space="preserve"> Such ideas were strongly rationalistic, based on presumptions of humans being able to control their environment through technology</w:t>
      </w:r>
      <w:r w:rsidR="00777D20">
        <w:rPr>
          <w:rFonts w:ascii="Times New Roman" w:hAnsi="Times New Roman" w:cs="Times New Roman"/>
          <w:szCs w:val="24"/>
        </w:rPr>
        <w:t>;</w:t>
      </w:r>
      <w:r w:rsidRPr="00183629">
        <w:rPr>
          <w:rFonts w:ascii="Times New Roman" w:hAnsi="Times New Roman" w:cs="Times New Roman"/>
          <w:szCs w:val="24"/>
        </w:rPr>
        <w:t xml:space="preserve"> but the famines, epidemics, and other “natural” disasters of the late 20</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and early 21</w:t>
      </w:r>
      <w:r w:rsidRPr="00183629">
        <w:rPr>
          <w:rFonts w:ascii="Times New Roman" w:hAnsi="Times New Roman" w:cs="Times New Roman"/>
          <w:szCs w:val="24"/>
          <w:vertAlign w:val="superscript"/>
        </w:rPr>
        <w:t>st</w:t>
      </w:r>
      <w:r w:rsidRPr="00183629">
        <w:rPr>
          <w:rFonts w:ascii="Times New Roman" w:hAnsi="Times New Roman" w:cs="Times New Roman"/>
          <w:szCs w:val="24"/>
        </w:rPr>
        <w:t xml:space="preserve"> centuries speak otherwise.</w:t>
      </w:r>
      <w:r w:rsidRPr="00183629">
        <w:rPr>
          <w:rStyle w:val="FootnoteReference"/>
          <w:rFonts w:ascii="Times New Roman" w:hAnsi="Times New Roman" w:cs="Times New Roman"/>
          <w:szCs w:val="24"/>
        </w:rPr>
        <w:footnoteReference w:id="29"/>
      </w:r>
      <w:r w:rsidRPr="00183629">
        <w:rPr>
          <w:rFonts w:ascii="Times New Roman" w:hAnsi="Times New Roman" w:cs="Times New Roman"/>
          <w:szCs w:val="24"/>
        </w:rPr>
        <w:t xml:space="preserve"> The environmental consequences of Anthropocene ideologies have served </w:t>
      </w:r>
      <w:r w:rsidR="008C7912">
        <w:rPr>
          <w:rFonts w:ascii="Times New Roman" w:hAnsi="Times New Roman" w:cs="Times New Roman"/>
          <w:szCs w:val="24"/>
        </w:rPr>
        <w:t xml:space="preserve">to </w:t>
      </w:r>
      <w:r w:rsidRPr="00183629">
        <w:rPr>
          <w:rFonts w:ascii="Times New Roman" w:hAnsi="Times New Roman" w:cs="Times New Roman"/>
          <w:szCs w:val="24"/>
        </w:rPr>
        <w:t>undermine them and have brought forward new arguments that suggest that poverty and famine can only be addressed when working with</w:t>
      </w:r>
      <w:r w:rsidR="00B05D67">
        <w:rPr>
          <w:rFonts w:ascii="Times New Roman" w:hAnsi="Times New Roman" w:cs="Times New Roman"/>
          <w:szCs w:val="24"/>
        </w:rPr>
        <w:t>in</w:t>
      </w:r>
      <w:r w:rsidRPr="00183629">
        <w:rPr>
          <w:rFonts w:ascii="Times New Roman" w:hAnsi="Times New Roman" w:cs="Times New Roman"/>
          <w:szCs w:val="24"/>
        </w:rPr>
        <w:t xml:space="preserve"> the frameworks of the natural world rather than over them.</w:t>
      </w:r>
    </w:p>
    <w:p w14:paraId="43CD79B5"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41388C">
        <w:rPr>
          <w:rFonts w:ascii="Times New Roman" w:hAnsi="Times New Roman" w:cs="Times New Roman"/>
          <w:szCs w:val="24"/>
        </w:rPr>
        <w:t xml:space="preserve">Looking back </w:t>
      </w:r>
      <w:r w:rsidRPr="00183629">
        <w:rPr>
          <w:rFonts w:ascii="Times New Roman" w:hAnsi="Times New Roman" w:cs="Times New Roman"/>
          <w:szCs w:val="24"/>
        </w:rPr>
        <w:t xml:space="preserve">into our </w:t>
      </w:r>
      <w:r w:rsidRPr="0041388C">
        <w:rPr>
          <w:rFonts w:ascii="Times New Roman" w:hAnsi="Times New Roman" w:cs="Times New Roman"/>
          <w:szCs w:val="24"/>
        </w:rPr>
        <w:t>history, the Anthropocene conceptual framework pushes us to question where human decision in relation to the environment played a role in causing poverty and famine. Peoples who chose to transition from hunter-gatherer into settled agricultural societies, for example, created an environment of living that caused new types of disease to evolve from closer contact with animals. Clearing land made new breeding places for mosquitoes and digging irrigation ditches more homes for the tiny parasitic worms that cause bilharzia and therefore anaemia.</w:t>
      </w:r>
      <w:r w:rsidRPr="0041388C">
        <w:rPr>
          <w:rFonts w:ascii="Times New Roman" w:hAnsi="Times New Roman" w:cs="Times New Roman"/>
          <w:szCs w:val="24"/>
          <w:vertAlign w:val="superscript"/>
        </w:rPr>
        <w:footnoteReference w:id="30"/>
      </w:r>
      <w:r w:rsidRPr="0041388C">
        <w:rPr>
          <w:rFonts w:ascii="Times New Roman" w:hAnsi="Times New Roman" w:cs="Times New Roman"/>
          <w:szCs w:val="24"/>
        </w:rPr>
        <w:t xml:space="preserve"> As Mark Cohen and Gillian Crane-Kramer write in </w:t>
      </w:r>
      <w:r w:rsidRPr="0041388C">
        <w:rPr>
          <w:rFonts w:ascii="Times New Roman" w:hAnsi="Times New Roman" w:cs="Times New Roman"/>
          <w:i/>
          <w:iCs/>
          <w:szCs w:val="24"/>
        </w:rPr>
        <w:t>Ancient Health</w:t>
      </w:r>
      <w:r w:rsidRPr="0041388C">
        <w:rPr>
          <w:rFonts w:ascii="Times New Roman" w:hAnsi="Times New Roman" w:cs="Times New Roman"/>
          <w:szCs w:val="24"/>
        </w:rPr>
        <w:t xml:space="preserve">, skeletal records of early agricultural societies show ‘increased nutritional stress’ compared to their hunter-gatherer contemporaries who had a more varied </w:t>
      </w:r>
      <w:r w:rsidRPr="0041388C">
        <w:rPr>
          <w:rFonts w:ascii="Times New Roman" w:hAnsi="Times New Roman" w:cs="Times New Roman"/>
          <w:szCs w:val="24"/>
        </w:rPr>
        <w:lastRenderedPageBreak/>
        <w:t>and flexible diet and were thus less susceptible to famine.</w:t>
      </w:r>
      <w:r w:rsidRPr="0041388C">
        <w:rPr>
          <w:rFonts w:ascii="Times New Roman" w:hAnsi="Times New Roman" w:cs="Times New Roman"/>
          <w:szCs w:val="24"/>
          <w:vertAlign w:val="superscript"/>
        </w:rPr>
        <w:footnoteReference w:id="31"/>
      </w:r>
      <w:r w:rsidRPr="0041388C">
        <w:rPr>
          <w:rFonts w:ascii="Times New Roman" w:hAnsi="Times New Roman" w:cs="Times New Roman"/>
          <w:szCs w:val="24"/>
        </w:rPr>
        <w:t xml:space="preserve"> Foragers, having diets of higher energy and greater variety, were also far more unlikely to develop weaknesses in their nutrition, unlike settled agricultural peoples.</w:t>
      </w:r>
      <w:r w:rsidRPr="0041388C">
        <w:rPr>
          <w:rFonts w:ascii="Times New Roman" w:hAnsi="Times New Roman" w:cs="Times New Roman"/>
          <w:szCs w:val="24"/>
          <w:vertAlign w:val="superscript"/>
        </w:rPr>
        <w:footnoteReference w:id="32"/>
      </w:r>
      <w:r w:rsidRPr="0041388C">
        <w:rPr>
          <w:rFonts w:ascii="Times New Roman" w:hAnsi="Times New Roman" w:cs="Times New Roman"/>
          <w:szCs w:val="24"/>
        </w:rPr>
        <w:t xml:space="preserve"> With the emergence of the city environment in the historical record, Cohen and Crane Kramer also note how cultural differences between peoples begin to play more important roles in their lifestyles. Indeed, the general trend identified in societies from the advent of agriculture to the modern day has been an increase in social stratification related to changing economic conditions based on environmental factors.</w:t>
      </w:r>
      <w:r w:rsidRPr="0041388C">
        <w:rPr>
          <w:rFonts w:ascii="Times New Roman" w:hAnsi="Times New Roman" w:cs="Times New Roman"/>
          <w:szCs w:val="24"/>
          <w:vertAlign w:val="superscript"/>
        </w:rPr>
        <w:footnoteReference w:id="33"/>
      </w:r>
      <w:r w:rsidRPr="0041388C">
        <w:rPr>
          <w:rFonts w:ascii="Times New Roman" w:hAnsi="Times New Roman" w:cs="Times New Roman"/>
          <w:szCs w:val="24"/>
        </w:rPr>
        <w:t xml:space="preserve"> Cases of poverty and famine in the Anthropocene follow this trend, being most acutely felt by specific groups of people on lower levels of social strata. Such experiences in a society become less universal and more </w:t>
      </w:r>
      <w:r w:rsidRPr="00183629">
        <w:rPr>
          <w:rFonts w:ascii="Times New Roman" w:hAnsi="Times New Roman" w:cs="Times New Roman"/>
          <w:szCs w:val="24"/>
        </w:rPr>
        <w:t>variable</w:t>
      </w:r>
      <w:r w:rsidRPr="0041388C">
        <w:rPr>
          <w:rFonts w:ascii="Times New Roman" w:hAnsi="Times New Roman" w:cs="Times New Roman"/>
          <w:szCs w:val="24"/>
        </w:rPr>
        <w:t xml:space="preserve"> based on </w:t>
      </w:r>
      <w:r w:rsidRPr="00183629">
        <w:rPr>
          <w:rFonts w:ascii="Times New Roman" w:hAnsi="Times New Roman" w:cs="Times New Roman"/>
          <w:szCs w:val="24"/>
        </w:rPr>
        <w:t>a person’s</w:t>
      </w:r>
      <w:r w:rsidRPr="0041388C">
        <w:rPr>
          <w:rFonts w:ascii="Times New Roman" w:hAnsi="Times New Roman" w:cs="Times New Roman"/>
          <w:szCs w:val="24"/>
        </w:rPr>
        <w:t xml:space="preserve"> specific place in the nature-culture order.</w:t>
      </w:r>
    </w:p>
    <w:p w14:paraId="3CC2F8C9"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AF5CBE">
        <w:rPr>
          <w:rFonts w:ascii="Times New Roman" w:hAnsi="Times New Roman" w:cs="Times New Roman"/>
          <w:szCs w:val="24"/>
        </w:rPr>
        <w:t>The great Chinese famine of the late 1950s and early 1960s, as Dali Yang notes, is one example of famine that is considered to be predominantly of “man-made” causes, as in being the result of ideological policy decisions that caused falls in food production.</w:t>
      </w:r>
      <w:r w:rsidRPr="00AF5CBE">
        <w:rPr>
          <w:rFonts w:ascii="Times New Roman" w:hAnsi="Times New Roman" w:cs="Times New Roman"/>
          <w:szCs w:val="24"/>
          <w:vertAlign w:val="superscript"/>
        </w:rPr>
        <w:footnoteReference w:id="34"/>
      </w:r>
      <w:r w:rsidRPr="00AF5CBE">
        <w:rPr>
          <w:rFonts w:ascii="Times New Roman" w:hAnsi="Times New Roman" w:cs="Times New Roman"/>
          <w:szCs w:val="24"/>
        </w:rPr>
        <w:t xml:space="preserve"> In this example the connection is clear between human decision and human suffering, but because in the Anthropocene poverty and famine are often more abstracted from their ideological causes </w:t>
      </w:r>
      <w:r w:rsidRPr="00AF5CBE">
        <w:rPr>
          <w:rFonts w:ascii="Times New Roman" w:hAnsi="Times New Roman" w:cs="Times New Roman"/>
          <w:i/>
          <w:iCs/>
          <w:szCs w:val="24"/>
        </w:rPr>
        <w:t xml:space="preserve">via </w:t>
      </w:r>
      <w:r w:rsidRPr="00AF5CBE">
        <w:rPr>
          <w:rFonts w:ascii="Times New Roman" w:hAnsi="Times New Roman" w:cs="Times New Roman"/>
          <w:szCs w:val="24"/>
        </w:rPr>
        <w:t xml:space="preserve">environment, it is harder to conceive of and draw lines of causation. Indeed, the Anthropocene leaves little room for policy makers to blame “natural disasters” for crises, as the Chinese establishment did. </w:t>
      </w:r>
      <w:r w:rsidRPr="00183629">
        <w:rPr>
          <w:rFonts w:ascii="Times New Roman" w:hAnsi="Times New Roman" w:cs="Times New Roman"/>
          <w:szCs w:val="24"/>
        </w:rPr>
        <w:t xml:space="preserve">What makes this more difficult is that the </w:t>
      </w:r>
      <w:r w:rsidRPr="00AF5CBE">
        <w:rPr>
          <w:rFonts w:ascii="Times New Roman" w:hAnsi="Times New Roman" w:cs="Times New Roman"/>
          <w:szCs w:val="24"/>
        </w:rPr>
        <w:t>decisions behind</w:t>
      </w:r>
      <w:r w:rsidRPr="00183629">
        <w:rPr>
          <w:rFonts w:ascii="Times New Roman" w:hAnsi="Times New Roman" w:cs="Times New Roman"/>
          <w:szCs w:val="24"/>
        </w:rPr>
        <w:t xml:space="preserve"> </w:t>
      </w:r>
      <w:r w:rsidRPr="00AF5CBE">
        <w:rPr>
          <w:rFonts w:ascii="Times New Roman" w:hAnsi="Times New Roman" w:cs="Times New Roman"/>
          <w:szCs w:val="24"/>
        </w:rPr>
        <w:t xml:space="preserve">anthropogenic climate change </w:t>
      </w:r>
      <w:r w:rsidRPr="00183629">
        <w:rPr>
          <w:rFonts w:ascii="Times New Roman" w:hAnsi="Times New Roman" w:cs="Times New Roman"/>
          <w:szCs w:val="24"/>
        </w:rPr>
        <w:t>which</w:t>
      </w:r>
      <w:r w:rsidRPr="00AF5CBE">
        <w:rPr>
          <w:rFonts w:ascii="Times New Roman" w:hAnsi="Times New Roman" w:cs="Times New Roman"/>
          <w:szCs w:val="24"/>
        </w:rPr>
        <w:t xml:space="preserve"> </w:t>
      </w:r>
      <w:r w:rsidRPr="00183629">
        <w:rPr>
          <w:rFonts w:ascii="Times New Roman" w:hAnsi="Times New Roman" w:cs="Times New Roman"/>
          <w:szCs w:val="24"/>
        </w:rPr>
        <w:t xml:space="preserve">have </w:t>
      </w:r>
      <w:r w:rsidRPr="00AF5CBE">
        <w:rPr>
          <w:rFonts w:ascii="Times New Roman" w:hAnsi="Times New Roman" w:cs="Times New Roman"/>
          <w:szCs w:val="24"/>
        </w:rPr>
        <w:t>contribute</w:t>
      </w:r>
      <w:r w:rsidRPr="00183629">
        <w:rPr>
          <w:rFonts w:ascii="Times New Roman" w:hAnsi="Times New Roman" w:cs="Times New Roman"/>
          <w:szCs w:val="24"/>
        </w:rPr>
        <w:t>d</w:t>
      </w:r>
      <w:r w:rsidRPr="00AF5CBE">
        <w:rPr>
          <w:rFonts w:ascii="Times New Roman" w:hAnsi="Times New Roman" w:cs="Times New Roman"/>
          <w:szCs w:val="24"/>
        </w:rPr>
        <w:t xml:space="preserve"> to famine and poverty in modern history </w:t>
      </w:r>
      <w:r w:rsidRPr="00183629">
        <w:rPr>
          <w:rFonts w:ascii="Times New Roman" w:hAnsi="Times New Roman" w:cs="Times New Roman"/>
          <w:szCs w:val="24"/>
        </w:rPr>
        <w:t>were</w:t>
      </w:r>
      <w:r w:rsidRPr="00AF5CBE">
        <w:rPr>
          <w:rFonts w:ascii="Times New Roman" w:hAnsi="Times New Roman" w:cs="Times New Roman"/>
          <w:szCs w:val="24"/>
        </w:rPr>
        <w:t xml:space="preserve"> generally made in countries different from those which </w:t>
      </w:r>
      <w:r w:rsidRPr="00183629">
        <w:rPr>
          <w:rFonts w:ascii="Times New Roman" w:hAnsi="Times New Roman" w:cs="Times New Roman"/>
          <w:szCs w:val="24"/>
        </w:rPr>
        <w:t>were</w:t>
      </w:r>
      <w:r w:rsidRPr="00AF5CBE">
        <w:rPr>
          <w:rFonts w:ascii="Times New Roman" w:hAnsi="Times New Roman" w:cs="Times New Roman"/>
          <w:szCs w:val="24"/>
        </w:rPr>
        <w:t xml:space="preserve"> harmed</w:t>
      </w:r>
      <w:r w:rsidRPr="00183629">
        <w:rPr>
          <w:rFonts w:ascii="Times New Roman" w:hAnsi="Times New Roman" w:cs="Times New Roman"/>
          <w:szCs w:val="24"/>
        </w:rPr>
        <w:t xml:space="preserve">. As René Dubos wrote in </w:t>
      </w:r>
      <w:r w:rsidRPr="00183629">
        <w:rPr>
          <w:rFonts w:ascii="Times New Roman" w:hAnsi="Times New Roman" w:cs="Times New Roman"/>
          <w:i/>
          <w:iCs/>
          <w:szCs w:val="24"/>
        </w:rPr>
        <w:t>Science and Man’s Nature</w:t>
      </w:r>
      <w:r w:rsidRPr="00183629">
        <w:rPr>
          <w:rFonts w:ascii="Times New Roman" w:hAnsi="Times New Roman" w:cs="Times New Roman"/>
          <w:szCs w:val="24"/>
        </w:rPr>
        <w:t xml:space="preserve">, often the most widespread impacts of ecological stresses </w:t>
      </w:r>
      <w:r w:rsidRPr="00183629">
        <w:rPr>
          <w:rFonts w:ascii="Times New Roman" w:hAnsi="Times New Roman" w:cs="Times New Roman"/>
          <w:szCs w:val="24"/>
        </w:rPr>
        <w:lastRenderedPageBreak/>
        <w:t>are not the events themselves, but the social organisation and behavioural traits of the societies that surround them.</w:t>
      </w:r>
      <w:r w:rsidRPr="00183629">
        <w:rPr>
          <w:rStyle w:val="FootnoteReference"/>
          <w:rFonts w:ascii="Times New Roman" w:hAnsi="Times New Roman" w:cs="Times New Roman"/>
          <w:szCs w:val="24"/>
        </w:rPr>
        <w:footnoteReference w:id="35"/>
      </w:r>
    </w:p>
    <w:p w14:paraId="1ECEFD4E"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p>
    <w:p w14:paraId="58354025" w14:textId="48A71182" w:rsidR="00183629" w:rsidRPr="00183629" w:rsidRDefault="00183629" w:rsidP="00183629">
      <w:pPr>
        <w:autoSpaceDE w:val="0"/>
        <w:autoSpaceDN w:val="0"/>
        <w:adjustRightInd w:val="0"/>
        <w:spacing w:line="480" w:lineRule="auto"/>
        <w:jc w:val="center"/>
        <w:rPr>
          <w:rFonts w:ascii="Times New Roman" w:hAnsi="Times New Roman" w:cs="Times New Roman"/>
          <w:sz w:val="28"/>
          <w:szCs w:val="28"/>
        </w:rPr>
      </w:pPr>
      <w:r w:rsidRPr="00183629">
        <w:rPr>
          <w:rFonts w:ascii="Times New Roman" w:hAnsi="Times New Roman" w:cs="Times New Roman"/>
          <w:sz w:val="28"/>
          <w:szCs w:val="28"/>
        </w:rPr>
        <w:t>Minority Ecologies of the Anthropocene</w:t>
      </w:r>
    </w:p>
    <w:p w14:paraId="0DEAAAFA" w14:textId="5CDA4C8A"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r w:rsidRPr="00623E28">
        <w:rPr>
          <w:rFonts w:ascii="Times New Roman" w:hAnsi="Times New Roman" w:cs="Times New Roman"/>
          <w:szCs w:val="24"/>
        </w:rPr>
        <w:t>Whilst peoples who live outside, or even tangential to, globalised consumerist economies make up a fraction of the earth’s human population, they are responsible for managing c.25% of the world’s tropical forests.</w:t>
      </w:r>
      <w:r w:rsidRPr="00623E28">
        <w:rPr>
          <w:rFonts w:ascii="Times New Roman" w:hAnsi="Times New Roman" w:cs="Times New Roman"/>
          <w:szCs w:val="24"/>
          <w:vertAlign w:val="superscript"/>
        </w:rPr>
        <w:footnoteReference w:id="36"/>
      </w:r>
      <w:r w:rsidRPr="00183629">
        <w:rPr>
          <w:rFonts w:ascii="Times New Roman" w:hAnsi="Times New Roman" w:cs="Times New Roman"/>
          <w:szCs w:val="24"/>
        </w:rPr>
        <w:t xml:space="preserve"> For these people, even if the Anthropocene does not bring full famine or poverty, it can still bring aspects of those things. Human bodies require a complex array of nutrients to operate efficiently, which are obtained in different ways with different cultures around the world. For example, because of the environment of the South American rainforests, where the tropical climate results in acidic soil and therefore the plant life being low in nutritional value, there isn’t an easy supply of animals available to provide protein for a person’s diet. Therefore in many indigenous diets where meat has been uncommon, protein was instead obtained by a mix of maize and beans, that complement each other when eaten together.</w:t>
      </w:r>
      <w:r w:rsidRPr="00183629">
        <w:rPr>
          <w:rStyle w:val="FootnoteReference"/>
          <w:rFonts w:ascii="Times New Roman" w:hAnsi="Times New Roman" w:cs="Times New Roman"/>
          <w:szCs w:val="24"/>
        </w:rPr>
        <w:footnoteReference w:id="37"/>
      </w:r>
      <w:r w:rsidRPr="00183629">
        <w:rPr>
          <w:rFonts w:ascii="Times New Roman" w:hAnsi="Times New Roman" w:cs="Times New Roman"/>
          <w:szCs w:val="24"/>
        </w:rPr>
        <w:t xml:space="preserve"> In the 1960s these two staples began to be upset by consumerist economies of the Anthropocene that resulted in less healthy and nutritious diets, if not hunger. This pattern also holds true for the peoples of the Kalahari Desert where there has been a steady decrease in food obtained from hunting and foraging over time, being replaced with imported commercial products such as cornmeal and sugar. Where at the start of the 20</w:t>
      </w:r>
      <w:r w:rsidRPr="00183629">
        <w:rPr>
          <w:rFonts w:ascii="Times New Roman" w:hAnsi="Times New Roman" w:cs="Times New Roman"/>
          <w:szCs w:val="24"/>
          <w:vertAlign w:val="superscript"/>
        </w:rPr>
        <w:t>th</w:t>
      </w:r>
      <w:r w:rsidRPr="00183629">
        <w:rPr>
          <w:rFonts w:ascii="Times New Roman" w:hAnsi="Times New Roman" w:cs="Times New Roman"/>
          <w:szCs w:val="24"/>
        </w:rPr>
        <w:t xml:space="preserve"> century almost all of their nutrition came from wild sources, by 1980 this figure was down to 20%.</w:t>
      </w:r>
      <w:r w:rsidRPr="00183629">
        <w:rPr>
          <w:rStyle w:val="FootnoteReference"/>
          <w:rFonts w:ascii="Times New Roman" w:hAnsi="Times New Roman" w:cs="Times New Roman"/>
          <w:szCs w:val="24"/>
        </w:rPr>
        <w:footnoteReference w:id="38"/>
      </w:r>
      <w:r w:rsidRPr="00183629">
        <w:rPr>
          <w:rFonts w:ascii="Times New Roman" w:hAnsi="Times New Roman" w:cs="Times New Roman"/>
          <w:szCs w:val="24"/>
        </w:rPr>
        <w:t xml:space="preserve"> This came with benefits and disadvantages, such as in seeing an increase in nutritional deficiencies but also a decrease in infant mortality due to a greater availability of milk.</w:t>
      </w:r>
      <w:r w:rsidRPr="00183629">
        <w:rPr>
          <w:rStyle w:val="FootnoteReference"/>
          <w:rFonts w:ascii="Times New Roman" w:hAnsi="Times New Roman" w:cs="Times New Roman"/>
          <w:szCs w:val="24"/>
        </w:rPr>
        <w:footnoteReference w:id="39"/>
      </w:r>
      <w:r w:rsidRPr="00183629">
        <w:rPr>
          <w:rFonts w:ascii="Times New Roman" w:hAnsi="Times New Roman" w:cs="Times New Roman"/>
          <w:szCs w:val="24"/>
        </w:rPr>
        <w:t xml:space="preserve"> This is exemplary of how, in regards to food production, </w:t>
      </w:r>
      <w:r w:rsidRPr="00183629">
        <w:rPr>
          <w:rFonts w:ascii="Times New Roman" w:hAnsi="Times New Roman" w:cs="Times New Roman"/>
          <w:szCs w:val="24"/>
        </w:rPr>
        <w:lastRenderedPageBreak/>
        <w:t>the Anthropocene influences not only the production of food in different environments, but also the way it distributed throughout a given economy and the way it is culturally viewed and prepared.</w:t>
      </w:r>
      <w:r w:rsidRPr="00183629">
        <w:rPr>
          <w:rFonts w:ascii="Times New Roman" w:hAnsi="Times New Roman" w:cs="Times New Roman"/>
          <w:szCs w:val="24"/>
          <w:vertAlign w:val="superscript"/>
        </w:rPr>
        <w:footnoteReference w:id="40"/>
      </w:r>
    </w:p>
    <w:p w14:paraId="7EAE02FF"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183629">
        <w:rPr>
          <w:rFonts w:ascii="Times New Roman" w:hAnsi="Times New Roman" w:cs="Times New Roman"/>
          <w:szCs w:val="24"/>
        </w:rPr>
        <w:t>Hunter/gatherer societies’ food sources are not only put under threat from c</w:t>
      </w:r>
      <w:r w:rsidRPr="001A0184">
        <w:rPr>
          <w:rFonts w:ascii="Times New Roman" w:hAnsi="Times New Roman" w:cs="Times New Roman"/>
          <w:szCs w:val="24"/>
        </w:rPr>
        <w:t>limate change</w:t>
      </w:r>
      <w:r w:rsidRPr="00183629">
        <w:rPr>
          <w:rFonts w:ascii="Times New Roman" w:hAnsi="Times New Roman" w:cs="Times New Roman"/>
          <w:szCs w:val="24"/>
        </w:rPr>
        <w:t>, however. Indeed, a</w:t>
      </w:r>
      <w:r w:rsidRPr="001A0184">
        <w:rPr>
          <w:rFonts w:ascii="Times New Roman" w:hAnsi="Times New Roman" w:cs="Times New Roman"/>
          <w:szCs w:val="24"/>
        </w:rPr>
        <w:t>ccording to the International Union for Conservation of Nature (IUCN), habitat loss has been the primary reason behind extinctions and endangerments of mammals, birds, and amphibians</w:t>
      </w:r>
      <w:r w:rsidRPr="00183629">
        <w:rPr>
          <w:rFonts w:ascii="Times New Roman" w:hAnsi="Times New Roman" w:cs="Times New Roman"/>
          <w:szCs w:val="24"/>
        </w:rPr>
        <w:t xml:space="preserve"> around the world,</w:t>
      </w:r>
      <w:r w:rsidRPr="001A0184">
        <w:rPr>
          <w:rFonts w:ascii="Times New Roman" w:hAnsi="Times New Roman" w:cs="Times New Roman"/>
          <w:szCs w:val="24"/>
        </w:rPr>
        <w:t xml:space="preserve"> </w:t>
      </w:r>
      <w:r w:rsidRPr="00183629">
        <w:rPr>
          <w:rFonts w:ascii="Times New Roman" w:hAnsi="Times New Roman" w:cs="Times New Roman"/>
          <w:szCs w:val="24"/>
        </w:rPr>
        <w:t>a</w:t>
      </w:r>
      <w:r w:rsidRPr="001A0184">
        <w:rPr>
          <w:rFonts w:ascii="Times New Roman" w:hAnsi="Times New Roman" w:cs="Times New Roman"/>
          <w:szCs w:val="24"/>
        </w:rPr>
        <w:t xml:space="preserve">nd whilst climate change is a contributor to habitat loss, most of this has been the result of more physically immediate </w:t>
      </w:r>
      <w:r w:rsidRPr="00183629">
        <w:rPr>
          <w:rFonts w:ascii="Times New Roman" w:hAnsi="Times New Roman" w:cs="Times New Roman"/>
          <w:szCs w:val="24"/>
        </w:rPr>
        <w:t xml:space="preserve">human </w:t>
      </w:r>
      <w:r w:rsidRPr="001A0184">
        <w:rPr>
          <w:rFonts w:ascii="Times New Roman" w:hAnsi="Times New Roman" w:cs="Times New Roman"/>
          <w:szCs w:val="24"/>
        </w:rPr>
        <w:t>action through the remodelling of landscapes for agricultural land.</w:t>
      </w:r>
      <w:r w:rsidRPr="00183629">
        <w:rPr>
          <w:rStyle w:val="FootnoteReference"/>
          <w:rFonts w:ascii="Times New Roman" w:hAnsi="Times New Roman" w:cs="Times New Roman"/>
          <w:szCs w:val="24"/>
        </w:rPr>
        <w:footnoteReference w:id="41"/>
      </w:r>
      <w:r w:rsidRPr="00183629">
        <w:rPr>
          <w:rFonts w:ascii="Times New Roman" w:hAnsi="Times New Roman" w:cs="Times New Roman"/>
          <w:szCs w:val="24"/>
        </w:rPr>
        <w:t xml:space="preserve"> This decrease in habitat size has thus reduced the number of plants and animals from which to gather.</w:t>
      </w:r>
    </w:p>
    <w:p w14:paraId="74B5EA18" w14:textId="5C896A2C"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183629">
        <w:rPr>
          <w:rFonts w:ascii="Times New Roman" w:hAnsi="Times New Roman" w:cs="Times New Roman"/>
          <w:szCs w:val="24"/>
        </w:rPr>
        <w:t>In contrast to foragers, people worldwide who live as subsistence farmers (approximately 75% of the world’s 1.2 billion poor) have diets that depend on one specific staple.</w:t>
      </w:r>
      <w:r w:rsidRPr="00183629">
        <w:rPr>
          <w:rStyle w:val="FootnoteReference"/>
          <w:rFonts w:ascii="Times New Roman" w:hAnsi="Times New Roman" w:cs="Times New Roman"/>
          <w:szCs w:val="24"/>
        </w:rPr>
        <w:footnoteReference w:id="42"/>
      </w:r>
      <w:r w:rsidRPr="00183629">
        <w:rPr>
          <w:rFonts w:ascii="Times New Roman" w:hAnsi="Times New Roman" w:cs="Times New Roman"/>
          <w:szCs w:val="24"/>
        </w:rPr>
        <w:t xml:space="preserve"> In temperate European and Asian climates, this has been wheat. For Africa millet or sorghum, south and Southeast Asia rice, and maize for the Americas. Economies built in this style are able to produce more food than hunter/gatherers due to the use of more intensive agricultural techniques but are bound to that single staple’s limitations. Such peoples have been more vulnerable to a lack of certain vitamins or minerals, and more likely to have seasonal hunger incorporated into their farming routines before a harvest.  This means that should their resources fall prey to blight, drought, or </w:t>
      </w:r>
      <w:r w:rsidR="00BA7B0A">
        <w:rPr>
          <w:rFonts w:ascii="Times New Roman" w:hAnsi="Times New Roman" w:cs="Times New Roman"/>
          <w:szCs w:val="24"/>
        </w:rPr>
        <w:t>an</w:t>
      </w:r>
      <w:r w:rsidRPr="00183629">
        <w:rPr>
          <w:rFonts w:ascii="Times New Roman" w:hAnsi="Times New Roman" w:cs="Times New Roman"/>
          <w:szCs w:val="24"/>
        </w:rPr>
        <w:t>other limiter, the entire system collapses, leading to famine. This occurred in Kenya in the 1980s when economic pressures of Anthropocene markets caused an increase in poverty and malnutrition because pastoralists were not able to sell their produce at sustainable  prices.</w:t>
      </w:r>
      <w:r w:rsidRPr="00183629">
        <w:rPr>
          <w:rStyle w:val="FootnoteReference"/>
          <w:rFonts w:ascii="Times New Roman" w:hAnsi="Times New Roman" w:cs="Times New Roman"/>
          <w:szCs w:val="24"/>
        </w:rPr>
        <w:footnoteReference w:id="43"/>
      </w:r>
      <w:r w:rsidRPr="00183629">
        <w:rPr>
          <w:rFonts w:ascii="Times New Roman" w:hAnsi="Times New Roman" w:cs="Times New Roman"/>
          <w:szCs w:val="24"/>
        </w:rPr>
        <w:t xml:space="preserve"> In the Anthropocene, this is becoming more common, and so this style of subsistence is becoming less viable, as with hunter/gathering. Traditional cuisines </w:t>
      </w:r>
      <w:r w:rsidRPr="00183629">
        <w:rPr>
          <w:rFonts w:ascii="Times New Roman" w:hAnsi="Times New Roman" w:cs="Times New Roman"/>
          <w:szCs w:val="24"/>
        </w:rPr>
        <w:lastRenderedPageBreak/>
        <w:t>around the world have been thus put under threat in the Anthropocene via ecological and also economic contributors. Local foodstuffs are highly cultural and so this represents societal damage, but they are also the ends of a process of adaptive selection over time whereby different culinary combinations have been trialled and those best suited to the environment chosen. Changing these diets without consideration to local particularities, therefore, is more likely to be a force of harm than help.</w:t>
      </w:r>
    </w:p>
    <w:p w14:paraId="01E2857F"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183629">
        <w:rPr>
          <w:rFonts w:ascii="Times New Roman" w:hAnsi="Times New Roman" w:cs="Times New Roman"/>
          <w:szCs w:val="24"/>
        </w:rPr>
        <w:t>T</w:t>
      </w:r>
      <w:r w:rsidRPr="00B91F42">
        <w:rPr>
          <w:rFonts w:ascii="Times New Roman" w:hAnsi="Times New Roman" w:cs="Times New Roman"/>
          <w:szCs w:val="24"/>
        </w:rPr>
        <w:t xml:space="preserve">he Anthropocene </w:t>
      </w:r>
      <w:r w:rsidRPr="00183629">
        <w:rPr>
          <w:rFonts w:ascii="Times New Roman" w:hAnsi="Times New Roman" w:cs="Times New Roman"/>
          <w:szCs w:val="24"/>
        </w:rPr>
        <w:t xml:space="preserve">has </w:t>
      </w:r>
      <w:r w:rsidRPr="00B91F42">
        <w:rPr>
          <w:rFonts w:ascii="Times New Roman" w:hAnsi="Times New Roman" w:cs="Times New Roman"/>
          <w:szCs w:val="24"/>
        </w:rPr>
        <w:t>create</w:t>
      </w:r>
      <w:r w:rsidRPr="00183629">
        <w:rPr>
          <w:rFonts w:ascii="Times New Roman" w:hAnsi="Times New Roman" w:cs="Times New Roman"/>
          <w:szCs w:val="24"/>
        </w:rPr>
        <w:t>d</w:t>
      </w:r>
      <w:r w:rsidRPr="00B91F42">
        <w:rPr>
          <w:rFonts w:ascii="Times New Roman" w:hAnsi="Times New Roman" w:cs="Times New Roman"/>
          <w:szCs w:val="24"/>
        </w:rPr>
        <w:t xml:space="preserve"> the environmental conditions which make methods of subsistence other than that which birthed it, global industrial commercialised production, more difficult to maintain. Via the limitation of wild spaces for foraging through habitat destruction, and the increasing of “natural” disasters that decimate traditional farming techniques, those older forms of food acquisition are attacked and diminished. The reason for this is that the majority of the energy utilised in industrial agriculture does not come from human labour, only around 5% compared to its </w:t>
      </w:r>
      <w:r w:rsidRPr="00183629">
        <w:rPr>
          <w:rFonts w:ascii="Times New Roman" w:hAnsi="Times New Roman" w:cs="Times New Roman"/>
          <w:szCs w:val="24"/>
        </w:rPr>
        <w:t>alternatives</w:t>
      </w:r>
      <w:r w:rsidRPr="00B91F42">
        <w:rPr>
          <w:rFonts w:ascii="Times New Roman" w:hAnsi="Times New Roman" w:cs="Times New Roman"/>
          <w:szCs w:val="24"/>
        </w:rPr>
        <w:t xml:space="preserve"> that use around 90%. Instead it draws on energy sources such as coal and oil that produce high amounts of pollution. Industrial agriculture is vulnerable to the same threats as subsistence agriculture, namely the cultivation of monocultures that are susceptible to disease, but this is remedied with the use of pesticides which in turn harm the health of the humans and ecosystems they come into contact with; for example </w:t>
      </w:r>
      <w:r w:rsidRPr="00183629">
        <w:rPr>
          <w:rFonts w:ascii="Times New Roman" w:hAnsi="Times New Roman" w:cs="Times New Roman"/>
          <w:szCs w:val="24"/>
        </w:rPr>
        <w:t xml:space="preserve">when </w:t>
      </w:r>
      <w:r w:rsidRPr="00B91F42">
        <w:rPr>
          <w:rFonts w:ascii="Times New Roman" w:hAnsi="Times New Roman" w:cs="Times New Roman"/>
          <w:szCs w:val="24"/>
        </w:rPr>
        <w:t>pesticides of the neonicotinoid group cause</w:t>
      </w:r>
      <w:r w:rsidRPr="00183629">
        <w:rPr>
          <w:rFonts w:ascii="Times New Roman" w:hAnsi="Times New Roman" w:cs="Times New Roman"/>
          <w:szCs w:val="24"/>
        </w:rPr>
        <w:t>d</w:t>
      </w:r>
      <w:r w:rsidRPr="00B91F42">
        <w:rPr>
          <w:rFonts w:ascii="Times New Roman" w:hAnsi="Times New Roman" w:cs="Times New Roman"/>
          <w:szCs w:val="24"/>
        </w:rPr>
        <w:t xml:space="preserve"> ‘colony collapse disorder’ in bees</w:t>
      </w:r>
      <w:r w:rsidRPr="00183629">
        <w:rPr>
          <w:rFonts w:ascii="Times New Roman" w:hAnsi="Times New Roman" w:cs="Times New Roman"/>
          <w:szCs w:val="24"/>
        </w:rPr>
        <w:t xml:space="preserve"> in Massachusetts in 2013;</w:t>
      </w:r>
      <w:r w:rsidRPr="00B91F42">
        <w:rPr>
          <w:rFonts w:ascii="Times New Roman" w:hAnsi="Times New Roman" w:cs="Times New Roman"/>
          <w:szCs w:val="24"/>
        </w:rPr>
        <w:t xml:space="preserve"> </w:t>
      </w:r>
      <w:r w:rsidRPr="00183629">
        <w:rPr>
          <w:rFonts w:ascii="Times New Roman" w:hAnsi="Times New Roman" w:cs="Times New Roman"/>
          <w:szCs w:val="24"/>
        </w:rPr>
        <w:t>this</w:t>
      </w:r>
      <w:r w:rsidRPr="00B91F42">
        <w:rPr>
          <w:rFonts w:ascii="Times New Roman" w:hAnsi="Times New Roman" w:cs="Times New Roman"/>
          <w:szCs w:val="24"/>
        </w:rPr>
        <w:t xml:space="preserve"> in turn damage</w:t>
      </w:r>
      <w:r w:rsidRPr="00183629">
        <w:rPr>
          <w:rFonts w:ascii="Times New Roman" w:hAnsi="Times New Roman" w:cs="Times New Roman"/>
          <w:szCs w:val="24"/>
        </w:rPr>
        <w:t xml:space="preserve">d </w:t>
      </w:r>
      <w:r w:rsidRPr="00B91F42">
        <w:rPr>
          <w:rFonts w:ascii="Times New Roman" w:hAnsi="Times New Roman" w:cs="Times New Roman"/>
          <w:szCs w:val="24"/>
        </w:rPr>
        <w:t xml:space="preserve">the whole ecosystem due to </w:t>
      </w:r>
      <w:r w:rsidRPr="00183629">
        <w:rPr>
          <w:rFonts w:ascii="Times New Roman" w:hAnsi="Times New Roman" w:cs="Times New Roman"/>
          <w:szCs w:val="24"/>
        </w:rPr>
        <w:t>the</w:t>
      </w:r>
      <w:r w:rsidRPr="00B91F42">
        <w:rPr>
          <w:rFonts w:ascii="Times New Roman" w:hAnsi="Times New Roman" w:cs="Times New Roman"/>
          <w:szCs w:val="24"/>
        </w:rPr>
        <w:t xml:space="preserve"> loss </w:t>
      </w:r>
      <w:r w:rsidRPr="00183629">
        <w:rPr>
          <w:rFonts w:ascii="Times New Roman" w:hAnsi="Times New Roman" w:cs="Times New Roman"/>
          <w:szCs w:val="24"/>
        </w:rPr>
        <w:t>of</w:t>
      </w:r>
      <w:r w:rsidRPr="00B91F42">
        <w:rPr>
          <w:rFonts w:ascii="Times New Roman" w:hAnsi="Times New Roman" w:cs="Times New Roman"/>
          <w:szCs w:val="24"/>
        </w:rPr>
        <w:t xml:space="preserve"> pollinators, including hurting the yields of the farmers who use </w:t>
      </w:r>
      <w:r w:rsidRPr="00183629">
        <w:rPr>
          <w:rFonts w:ascii="Times New Roman" w:hAnsi="Times New Roman" w:cs="Times New Roman"/>
          <w:szCs w:val="24"/>
        </w:rPr>
        <w:t>those</w:t>
      </w:r>
      <w:r w:rsidRPr="00B91F42">
        <w:rPr>
          <w:rFonts w:ascii="Times New Roman" w:hAnsi="Times New Roman" w:cs="Times New Roman"/>
          <w:szCs w:val="24"/>
        </w:rPr>
        <w:t xml:space="preserve"> chemicals.</w:t>
      </w:r>
      <w:r w:rsidRPr="00B91F42">
        <w:rPr>
          <w:rFonts w:ascii="Times New Roman" w:hAnsi="Times New Roman" w:cs="Times New Roman"/>
          <w:szCs w:val="24"/>
          <w:vertAlign w:val="superscript"/>
        </w:rPr>
        <w:footnoteReference w:id="44"/>
      </w:r>
      <w:r w:rsidRPr="00B91F42">
        <w:rPr>
          <w:rFonts w:ascii="Times New Roman" w:hAnsi="Times New Roman" w:cs="Times New Roman"/>
          <w:szCs w:val="24"/>
        </w:rPr>
        <w:t xml:space="preserve"> Furthermore, such crops have less nutritional content overall compared to crops grown without the use of pesticides or glyphosate herbicides.</w:t>
      </w:r>
      <w:r w:rsidRPr="00B91F42">
        <w:rPr>
          <w:rFonts w:ascii="Times New Roman" w:hAnsi="Times New Roman" w:cs="Times New Roman"/>
          <w:szCs w:val="24"/>
          <w:vertAlign w:val="superscript"/>
        </w:rPr>
        <w:footnoteReference w:id="45"/>
      </w:r>
      <w:r w:rsidRPr="00B91F42">
        <w:rPr>
          <w:rFonts w:ascii="Times New Roman" w:hAnsi="Times New Roman" w:cs="Times New Roman"/>
          <w:szCs w:val="24"/>
        </w:rPr>
        <w:t xml:space="preserve"> Indeed, the use of these fertilisers ultimately degrades the soil and water resources of the ecosystem to such an extent that it becomes unsustainable, especially in an environment of increased drought</w:t>
      </w:r>
      <w:r w:rsidRPr="00183629">
        <w:rPr>
          <w:rFonts w:ascii="Times New Roman" w:hAnsi="Times New Roman" w:cs="Times New Roman"/>
          <w:szCs w:val="24"/>
        </w:rPr>
        <w:t xml:space="preserve">, and contributes to the growth of cyanobacteria via runoff into </w:t>
      </w:r>
      <w:r w:rsidRPr="00183629">
        <w:rPr>
          <w:rFonts w:ascii="Times New Roman" w:hAnsi="Times New Roman" w:cs="Times New Roman"/>
          <w:szCs w:val="24"/>
        </w:rPr>
        <w:lastRenderedPageBreak/>
        <w:t>bodies of water.</w:t>
      </w:r>
      <w:r w:rsidRPr="00183629">
        <w:rPr>
          <w:rFonts w:ascii="Times New Roman" w:hAnsi="Times New Roman" w:cs="Times New Roman"/>
          <w:szCs w:val="24"/>
          <w:vertAlign w:val="superscript"/>
        </w:rPr>
        <w:footnoteReference w:id="46"/>
      </w:r>
      <w:r w:rsidRPr="00183629">
        <w:rPr>
          <w:rFonts w:ascii="Times New Roman" w:hAnsi="Times New Roman" w:cs="Times New Roman"/>
          <w:szCs w:val="24"/>
        </w:rPr>
        <w:t xml:space="preserve"> This bacteria flourishes in excesses of nitrogen and other chemicals that fertiliser provides and in turn harms the health of aquatic life and humans who drink the water, eat products of that water, or use it for recreation.</w:t>
      </w:r>
      <w:r w:rsidRPr="00183629">
        <w:rPr>
          <w:rFonts w:ascii="Times New Roman" w:hAnsi="Times New Roman" w:cs="Times New Roman"/>
          <w:szCs w:val="24"/>
          <w:vertAlign w:val="superscript"/>
        </w:rPr>
        <w:footnoteReference w:id="47"/>
      </w:r>
    </w:p>
    <w:p w14:paraId="6A280677" w14:textId="77777777"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p>
    <w:p w14:paraId="682B891C" w14:textId="4B00ECBF" w:rsidR="00183629" w:rsidRPr="00183629" w:rsidRDefault="00183629" w:rsidP="00183629">
      <w:pPr>
        <w:autoSpaceDE w:val="0"/>
        <w:autoSpaceDN w:val="0"/>
        <w:adjustRightInd w:val="0"/>
        <w:spacing w:line="480" w:lineRule="auto"/>
        <w:jc w:val="center"/>
        <w:rPr>
          <w:rFonts w:ascii="Times New Roman" w:hAnsi="Times New Roman" w:cs="Times New Roman"/>
          <w:sz w:val="28"/>
          <w:szCs w:val="28"/>
        </w:rPr>
      </w:pPr>
      <w:r w:rsidRPr="00183629">
        <w:rPr>
          <w:rFonts w:ascii="Times New Roman" w:hAnsi="Times New Roman" w:cs="Times New Roman"/>
          <w:sz w:val="28"/>
          <w:szCs w:val="28"/>
        </w:rPr>
        <w:t>Anthropocene Societies</w:t>
      </w:r>
    </w:p>
    <w:p w14:paraId="6937EA56" w14:textId="77777777"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r w:rsidRPr="00183629">
        <w:rPr>
          <w:rFonts w:ascii="Times New Roman" w:hAnsi="Times New Roman" w:cs="Times New Roman"/>
          <w:szCs w:val="24"/>
        </w:rPr>
        <w:t>The nutritional and economic stresses of the Anthropocene are not only found in traditional agricultural and foraging environments however, although these are the most drastically affected. In America, for example, at least 15% of households suffer from nutritional stress and food insecurity despite availability of charities and government programs.</w:t>
      </w:r>
      <w:r w:rsidRPr="00183629">
        <w:rPr>
          <w:rStyle w:val="FootnoteReference"/>
          <w:rFonts w:ascii="Times New Roman" w:hAnsi="Times New Roman" w:cs="Times New Roman"/>
          <w:szCs w:val="24"/>
        </w:rPr>
        <w:footnoteReference w:id="48"/>
      </w:r>
      <w:r w:rsidRPr="00183629">
        <w:rPr>
          <w:rFonts w:ascii="Times New Roman" w:hAnsi="Times New Roman" w:cs="Times New Roman"/>
          <w:szCs w:val="24"/>
        </w:rPr>
        <w:t xml:space="preserve"> It is also the case that these same households are prone to obesity, because both conditions relate to a lack of healthy food in a person’s diet, rather than a lack of food overall.</w:t>
      </w:r>
      <w:r w:rsidRPr="00183629">
        <w:rPr>
          <w:rStyle w:val="FootnoteReference"/>
          <w:rFonts w:ascii="Times New Roman" w:hAnsi="Times New Roman" w:cs="Times New Roman"/>
          <w:szCs w:val="24"/>
        </w:rPr>
        <w:footnoteReference w:id="49"/>
      </w:r>
      <w:r w:rsidRPr="00183629">
        <w:rPr>
          <w:rFonts w:ascii="Times New Roman" w:hAnsi="Times New Roman" w:cs="Times New Roman"/>
          <w:szCs w:val="24"/>
        </w:rPr>
        <w:t xml:space="preserve"> Those societies most responsible for creating the Anthropocene, the same as those who have profited on it, have seen a shift toward meat as the prime source of protein in their diets, and therefore increased intakes of animal fats. Alongside this, people living on ‘supermarket diets’ see increased intakes of high-glucose and fructose foodstuffs which are associated with obesity and several chronic illnesses including diabetes, various autoimmune diseases, and kidney inflammation.</w:t>
      </w:r>
      <w:r w:rsidRPr="00183629">
        <w:rPr>
          <w:rFonts w:ascii="Times New Roman" w:hAnsi="Times New Roman" w:cs="Times New Roman"/>
          <w:szCs w:val="24"/>
          <w:vertAlign w:val="superscript"/>
        </w:rPr>
        <w:footnoteReference w:id="50"/>
      </w:r>
      <w:r w:rsidRPr="00183629">
        <w:rPr>
          <w:rFonts w:ascii="Times New Roman" w:hAnsi="Times New Roman" w:cs="Times New Roman"/>
          <w:szCs w:val="24"/>
        </w:rPr>
        <w:t xml:space="preserve"> </w:t>
      </w:r>
    </w:p>
    <w:p w14:paraId="2125C60D" w14:textId="31C46E9D" w:rsidR="00183629" w:rsidRPr="00183629" w:rsidRDefault="00183629" w:rsidP="00183629">
      <w:pPr>
        <w:autoSpaceDE w:val="0"/>
        <w:autoSpaceDN w:val="0"/>
        <w:adjustRightInd w:val="0"/>
        <w:spacing w:line="480" w:lineRule="auto"/>
        <w:jc w:val="both"/>
        <w:rPr>
          <w:rFonts w:ascii="Times New Roman" w:hAnsi="Times New Roman" w:cs="Times New Roman"/>
          <w:szCs w:val="24"/>
        </w:rPr>
      </w:pPr>
      <w:r w:rsidRPr="00183629">
        <w:rPr>
          <w:rFonts w:ascii="Times New Roman" w:hAnsi="Times New Roman" w:cs="Times New Roman"/>
          <w:szCs w:val="24"/>
        </w:rPr>
        <w:tab/>
        <w:t xml:space="preserve">Industrial meat production chains that have used antibiotics on animals in order to keep them in closer quarters have built immunity in the pathogens they were targeting, thus making those illnesses harder to treat in human populations. Additionally, estrogenic chemicals used in the production of plastic packaging in industrial food networks, and those used on animals and crops, are suggested to </w:t>
      </w:r>
      <w:r w:rsidRPr="00183629">
        <w:rPr>
          <w:rFonts w:ascii="Times New Roman" w:hAnsi="Times New Roman" w:cs="Times New Roman"/>
          <w:szCs w:val="24"/>
        </w:rPr>
        <w:lastRenderedPageBreak/>
        <w:t>promote the growth of fat cells in the body.</w:t>
      </w:r>
      <w:r w:rsidRPr="00183629">
        <w:rPr>
          <w:rFonts w:ascii="Times New Roman" w:hAnsi="Times New Roman" w:cs="Times New Roman"/>
          <w:szCs w:val="24"/>
          <w:vertAlign w:val="superscript"/>
        </w:rPr>
        <w:footnoteReference w:id="51"/>
      </w:r>
      <w:r w:rsidRPr="00183629">
        <w:rPr>
          <w:rFonts w:ascii="Times New Roman" w:hAnsi="Times New Roman" w:cs="Times New Roman"/>
          <w:szCs w:val="24"/>
        </w:rPr>
        <w:t xml:space="preserve"> These chemicals disrupt a human or other animal’s endocrine system, meaning various hormones that are used to regulate fat growth can be confused. It is also likely that such defections can be passed down genetically to children of parents who are exposed to these chemicals pre or postnatally.</w:t>
      </w:r>
      <w:r w:rsidRPr="00183629">
        <w:rPr>
          <w:rFonts w:ascii="Times New Roman" w:hAnsi="Times New Roman" w:cs="Times New Roman"/>
          <w:szCs w:val="24"/>
          <w:vertAlign w:val="superscript"/>
        </w:rPr>
        <w:footnoteReference w:id="52"/>
      </w:r>
      <w:r w:rsidRPr="00183629">
        <w:rPr>
          <w:rFonts w:ascii="Times New Roman" w:hAnsi="Times New Roman" w:cs="Times New Roman"/>
          <w:szCs w:val="24"/>
        </w:rPr>
        <w:t xml:space="preserve"> At the same time, the inspections process of fresh produce has not been able to keep up with production or global distribution, and so foodstuffs contaminated either by bacteria or pesticide have been more likely to reach cooking pots. This has made the task of tracing contaminants back to their source more difficult. </w:t>
      </w:r>
    </w:p>
    <w:p w14:paraId="412BAE46" w14:textId="458FFB4E"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A93C5E">
        <w:rPr>
          <w:rFonts w:ascii="Times New Roman" w:hAnsi="Times New Roman" w:cs="Times New Roman"/>
          <w:szCs w:val="24"/>
        </w:rPr>
        <w:t xml:space="preserve">As Anna Bellisari describes the phenomenon in </w:t>
      </w:r>
      <w:r w:rsidRPr="00A93C5E">
        <w:rPr>
          <w:rFonts w:ascii="Times New Roman" w:hAnsi="Times New Roman" w:cs="Times New Roman"/>
          <w:i/>
          <w:iCs/>
          <w:szCs w:val="24"/>
        </w:rPr>
        <w:t>The Obesity Epidemic</w:t>
      </w:r>
      <w:r w:rsidRPr="00A93C5E">
        <w:rPr>
          <w:rFonts w:ascii="Times New Roman" w:hAnsi="Times New Roman" w:cs="Times New Roman"/>
          <w:szCs w:val="24"/>
        </w:rPr>
        <w:t>, obesity is: ‘the predictable outcome of the highly evolved human metabolic system functioning in an obesogenic environment created to fulfil the American Dream’.</w:t>
      </w:r>
      <w:r w:rsidRPr="00A93C5E">
        <w:rPr>
          <w:rFonts w:ascii="Times New Roman" w:hAnsi="Times New Roman" w:cs="Times New Roman"/>
          <w:szCs w:val="24"/>
          <w:vertAlign w:val="superscript"/>
        </w:rPr>
        <w:footnoteReference w:id="53"/>
      </w:r>
      <w:r w:rsidRPr="00A93C5E">
        <w:rPr>
          <w:rFonts w:ascii="Times New Roman" w:hAnsi="Times New Roman" w:cs="Times New Roman"/>
          <w:szCs w:val="24"/>
        </w:rPr>
        <w:t xml:space="preserve"> This highlights how the cultural aspect of an environment can fundamentally impact the biotic and abiotic. Supermarket societies of the 20</w:t>
      </w:r>
      <w:r w:rsidRPr="00A93C5E">
        <w:rPr>
          <w:rFonts w:ascii="Times New Roman" w:hAnsi="Times New Roman" w:cs="Times New Roman"/>
          <w:szCs w:val="24"/>
          <w:vertAlign w:val="superscript"/>
        </w:rPr>
        <w:t>th</w:t>
      </w:r>
      <w:r w:rsidRPr="00A93C5E">
        <w:rPr>
          <w:rFonts w:ascii="Times New Roman" w:hAnsi="Times New Roman" w:cs="Times New Roman"/>
          <w:szCs w:val="24"/>
        </w:rPr>
        <w:t xml:space="preserve"> </w:t>
      </w:r>
      <w:r w:rsidR="006F1449">
        <w:rPr>
          <w:rFonts w:ascii="Times New Roman" w:hAnsi="Times New Roman" w:cs="Times New Roman"/>
          <w:szCs w:val="24"/>
        </w:rPr>
        <w:t>and 21</w:t>
      </w:r>
      <w:r w:rsidR="006F1449" w:rsidRPr="006F1449">
        <w:rPr>
          <w:rFonts w:ascii="Times New Roman" w:hAnsi="Times New Roman" w:cs="Times New Roman"/>
          <w:szCs w:val="24"/>
          <w:vertAlign w:val="superscript"/>
        </w:rPr>
        <w:t>st</w:t>
      </w:r>
      <w:r w:rsidR="006F1449">
        <w:rPr>
          <w:rFonts w:ascii="Times New Roman" w:hAnsi="Times New Roman" w:cs="Times New Roman"/>
          <w:szCs w:val="24"/>
        </w:rPr>
        <w:t xml:space="preserve"> </w:t>
      </w:r>
      <w:r w:rsidRPr="00A93C5E">
        <w:rPr>
          <w:rFonts w:ascii="Times New Roman" w:hAnsi="Times New Roman" w:cs="Times New Roman"/>
          <w:szCs w:val="24"/>
        </w:rPr>
        <w:t>centur</w:t>
      </w:r>
      <w:r w:rsidR="006F1449">
        <w:rPr>
          <w:rFonts w:ascii="Times New Roman" w:hAnsi="Times New Roman" w:cs="Times New Roman"/>
          <w:szCs w:val="24"/>
        </w:rPr>
        <w:t>ies</w:t>
      </w:r>
      <w:r w:rsidRPr="00A93C5E">
        <w:rPr>
          <w:rFonts w:ascii="Times New Roman" w:hAnsi="Times New Roman" w:cs="Times New Roman"/>
          <w:szCs w:val="24"/>
        </w:rPr>
        <w:t xml:space="preserve"> that have seen obesity epidemics have done so primarily because their economic and political structures created a gastronomic environment wherein unhealthy foodstuffs were promoted because they were more lucrative than healthier alternatives.</w:t>
      </w:r>
      <w:r w:rsidRPr="00A93C5E">
        <w:rPr>
          <w:rFonts w:ascii="Times New Roman" w:hAnsi="Times New Roman" w:cs="Times New Roman"/>
          <w:szCs w:val="24"/>
          <w:vertAlign w:val="superscript"/>
        </w:rPr>
        <w:footnoteReference w:id="54"/>
      </w:r>
      <w:r w:rsidRPr="00A93C5E">
        <w:rPr>
          <w:rFonts w:ascii="Times New Roman" w:hAnsi="Times New Roman" w:cs="Times New Roman"/>
          <w:szCs w:val="24"/>
        </w:rPr>
        <w:t xml:space="preserve"> Additionally, the promotion of the idea that a person’s fatness is based </w:t>
      </w:r>
      <w:r w:rsidRPr="00183629">
        <w:rPr>
          <w:rFonts w:ascii="Times New Roman" w:hAnsi="Times New Roman" w:cs="Times New Roman"/>
          <w:szCs w:val="24"/>
        </w:rPr>
        <w:t>wholly</w:t>
      </w:r>
      <w:r w:rsidRPr="00A93C5E">
        <w:rPr>
          <w:rFonts w:ascii="Times New Roman" w:hAnsi="Times New Roman" w:cs="Times New Roman"/>
          <w:szCs w:val="24"/>
        </w:rPr>
        <w:t xml:space="preserve"> on individual choice as supposed to also being influenced by structural elements of the environments of nutrition and health that they live in, has allowed the continuation of this structure and the growth of other industries surrounding diet and fitness.</w:t>
      </w:r>
      <w:r w:rsidRPr="00A93C5E">
        <w:rPr>
          <w:rFonts w:ascii="Times New Roman" w:hAnsi="Times New Roman" w:cs="Times New Roman"/>
          <w:szCs w:val="24"/>
          <w:vertAlign w:val="superscript"/>
        </w:rPr>
        <w:footnoteReference w:id="55"/>
      </w:r>
      <w:r w:rsidRPr="00A93C5E">
        <w:rPr>
          <w:rFonts w:ascii="Times New Roman" w:hAnsi="Times New Roman" w:cs="Times New Roman"/>
          <w:szCs w:val="24"/>
        </w:rPr>
        <w:t xml:space="preserve"> </w:t>
      </w:r>
    </w:p>
    <w:p w14:paraId="43C98D32" w14:textId="77777777"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pPr>
      <w:r w:rsidRPr="002D3687">
        <w:rPr>
          <w:rFonts w:ascii="Times New Roman" w:hAnsi="Times New Roman" w:cs="Times New Roman"/>
          <w:szCs w:val="24"/>
        </w:rPr>
        <w:t xml:space="preserve">The increased yields typical of industrial agriculture also </w:t>
      </w:r>
      <w:r w:rsidRPr="00183629">
        <w:rPr>
          <w:rFonts w:ascii="Times New Roman" w:hAnsi="Times New Roman" w:cs="Times New Roman"/>
          <w:szCs w:val="24"/>
        </w:rPr>
        <w:t>sometimes</w:t>
      </w:r>
      <w:r w:rsidRPr="002D3687">
        <w:rPr>
          <w:rFonts w:ascii="Times New Roman" w:hAnsi="Times New Roman" w:cs="Times New Roman"/>
          <w:szCs w:val="24"/>
        </w:rPr>
        <w:t xml:space="preserve"> translate to </w:t>
      </w:r>
      <w:r w:rsidRPr="00183629">
        <w:rPr>
          <w:rFonts w:ascii="Times New Roman" w:hAnsi="Times New Roman" w:cs="Times New Roman"/>
          <w:szCs w:val="24"/>
        </w:rPr>
        <w:t>less</w:t>
      </w:r>
      <w:r w:rsidRPr="002D3687">
        <w:rPr>
          <w:rFonts w:ascii="Times New Roman" w:hAnsi="Times New Roman" w:cs="Times New Roman"/>
          <w:szCs w:val="24"/>
        </w:rPr>
        <w:t xml:space="preserve"> or </w:t>
      </w:r>
      <w:r w:rsidRPr="00183629">
        <w:rPr>
          <w:rFonts w:ascii="Times New Roman" w:hAnsi="Times New Roman" w:cs="Times New Roman"/>
          <w:szCs w:val="24"/>
        </w:rPr>
        <w:t>worse</w:t>
      </w:r>
      <w:r w:rsidRPr="002D3687">
        <w:rPr>
          <w:rFonts w:ascii="Times New Roman" w:hAnsi="Times New Roman" w:cs="Times New Roman"/>
          <w:szCs w:val="24"/>
        </w:rPr>
        <w:t xml:space="preserve"> nutrition for people. </w:t>
      </w:r>
      <w:r w:rsidRPr="00183629">
        <w:rPr>
          <w:rFonts w:ascii="Times New Roman" w:hAnsi="Times New Roman" w:cs="Times New Roman"/>
          <w:szCs w:val="24"/>
        </w:rPr>
        <w:t>I</w:t>
      </w:r>
      <w:r w:rsidRPr="002D3687">
        <w:rPr>
          <w:rFonts w:ascii="Times New Roman" w:hAnsi="Times New Roman" w:cs="Times New Roman"/>
          <w:szCs w:val="24"/>
        </w:rPr>
        <w:t>n central America</w:t>
      </w:r>
      <w:r w:rsidRPr="00183629">
        <w:rPr>
          <w:rFonts w:ascii="Times New Roman" w:hAnsi="Times New Roman" w:cs="Times New Roman"/>
          <w:szCs w:val="24"/>
        </w:rPr>
        <w:t>n nations,</w:t>
      </w:r>
      <w:r w:rsidRPr="002D3687">
        <w:rPr>
          <w:rFonts w:ascii="Times New Roman" w:hAnsi="Times New Roman" w:cs="Times New Roman"/>
          <w:szCs w:val="24"/>
        </w:rPr>
        <w:t xml:space="preserve"> where the production of products such as beef increased dramatically during the 1960s, the consumption of beef in that area of the world has </w:t>
      </w:r>
      <w:r w:rsidRPr="00183629">
        <w:rPr>
          <w:rFonts w:ascii="Times New Roman" w:hAnsi="Times New Roman" w:cs="Times New Roman"/>
          <w:szCs w:val="24"/>
        </w:rPr>
        <w:t xml:space="preserve">went </w:t>
      </w:r>
      <w:r w:rsidRPr="00183629">
        <w:rPr>
          <w:rFonts w:ascii="Times New Roman" w:hAnsi="Times New Roman" w:cs="Times New Roman"/>
          <w:szCs w:val="24"/>
        </w:rPr>
        <w:lastRenderedPageBreak/>
        <w:t>down</w:t>
      </w:r>
      <w:r w:rsidRPr="002D3687">
        <w:rPr>
          <w:rFonts w:ascii="Times New Roman" w:hAnsi="Times New Roman" w:cs="Times New Roman"/>
          <w:szCs w:val="24"/>
        </w:rPr>
        <w:t>, ranchers themselves having to ‘pay more for less’ as the food was exported to other markets around the world.</w:t>
      </w:r>
      <w:r w:rsidRPr="002D3687">
        <w:rPr>
          <w:rFonts w:ascii="Times New Roman" w:hAnsi="Times New Roman" w:cs="Times New Roman"/>
          <w:szCs w:val="24"/>
          <w:vertAlign w:val="superscript"/>
        </w:rPr>
        <w:footnoteReference w:id="56"/>
      </w:r>
      <w:r w:rsidRPr="00183629">
        <w:rPr>
          <w:rFonts w:ascii="Times New Roman" w:hAnsi="Times New Roman" w:cs="Times New Roman"/>
          <w:szCs w:val="24"/>
        </w:rPr>
        <w:t xml:space="preserve"> These globalised markets of industrial societies have also widened the scope of the impacts of food crises such as droughts, particularly for those living in poverty. A poor harvest in one key area of the world can have devastating impacts for the nutritional health of people the world over, such as with the millennium drought in Australia (1996 to 2010) that caused a spike in grain prices and led to deaths and protests in over 50 nations around the world.</w:t>
      </w:r>
      <w:r w:rsidRPr="00183629">
        <w:rPr>
          <w:rStyle w:val="FootnoteReference"/>
          <w:rFonts w:ascii="Times New Roman" w:hAnsi="Times New Roman" w:cs="Times New Roman"/>
          <w:szCs w:val="24"/>
        </w:rPr>
        <w:footnoteReference w:id="57"/>
      </w:r>
    </w:p>
    <w:p w14:paraId="13B3BE6C" w14:textId="7D873FCA" w:rsidR="00183629" w:rsidRPr="00183629" w:rsidRDefault="00183629" w:rsidP="00183629">
      <w:pPr>
        <w:autoSpaceDE w:val="0"/>
        <w:autoSpaceDN w:val="0"/>
        <w:adjustRightInd w:val="0"/>
        <w:spacing w:line="480" w:lineRule="auto"/>
        <w:ind w:firstLine="720"/>
        <w:jc w:val="both"/>
        <w:rPr>
          <w:rFonts w:ascii="Times New Roman" w:hAnsi="Times New Roman" w:cs="Times New Roman"/>
          <w:szCs w:val="24"/>
        </w:rPr>
        <w:sectPr w:rsidR="00183629" w:rsidRPr="00183629" w:rsidSect="00A579D5">
          <w:pgSz w:w="11906" w:h="16838"/>
          <w:pgMar w:top="1440" w:right="1080" w:bottom="1440" w:left="1080" w:header="708" w:footer="708" w:gutter="0"/>
          <w:pgNumType w:start="1"/>
          <w:cols w:space="708"/>
          <w:titlePg/>
          <w:docGrid w:linePitch="360"/>
        </w:sectPr>
      </w:pPr>
      <w:r w:rsidRPr="00183629">
        <w:rPr>
          <w:rFonts w:ascii="Times New Roman" w:hAnsi="Times New Roman" w:cs="Times New Roman"/>
          <w:szCs w:val="24"/>
        </w:rPr>
        <w:t>Recent history has challenged historians to change the ways they think about phenomena such as ideology, poverty, and famine. The Anthropocene’s ecosyndemic systems of nutrition and economy can only be grappled with a holistic understanding of each existing as nodes in a network of causality that is often non-obvious and multidirectional.</w:t>
      </w:r>
    </w:p>
    <w:p w14:paraId="701979FB" w14:textId="27DF3176" w:rsidR="000564C2" w:rsidRPr="000564C2" w:rsidRDefault="000564C2" w:rsidP="000564C2">
      <w:pPr>
        <w:spacing w:line="276" w:lineRule="auto"/>
        <w:rPr>
          <w:rFonts w:ascii="Times New Roman" w:hAnsi="Times New Roman" w:cs="Times New Roman"/>
          <w:sz w:val="28"/>
          <w:szCs w:val="28"/>
        </w:rPr>
      </w:pPr>
      <w:r w:rsidRPr="000564C2">
        <w:rPr>
          <w:rFonts w:ascii="Times New Roman" w:hAnsi="Times New Roman" w:cs="Times New Roman"/>
          <w:sz w:val="28"/>
          <w:szCs w:val="28"/>
        </w:rPr>
        <w:lastRenderedPageBreak/>
        <w:t xml:space="preserve">Bibliography </w:t>
      </w:r>
    </w:p>
    <w:p w14:paraId="4CCF84AA" w14:textId="1E465485" w:rsidR="000564C2" w:rsidRPr="000564C2" w:rsidRDefault="000564C2" w:rsidP="000564C2">
      <w:pPr>
        <w:spacing w:line="276" w:lineRule="auto"/>
        <w:rPr>
          <w:rFonts w:ascii="Times New Roman" w:hAnsi="Times New Roman" w:cs="Times New Roman"/>
          <w:szCs w:val="24"/>
        </w:rPr>
      </w:pPr>
      <w:r w:rsidRPr="000564C2">
        <w:rPr>
          <w:rFonts w:ascii="Times New Roman" w:hAnsi="Times New Roman" w:cs="Times New Roman"/>
          <w:szCs w:val="24"/>
        </w:rPr>
        <w:t xml:space="preserve">Verdin, James, Chris Funk, Gabriel Senay, and Richard Choularton. “Climate Science and Famine Early Warning.” </w:t>
      </w:r>
      <w:r w:rsidRPr="000564C2">
        <w:rPr>
          <w:rFonts w:ascii="Times New Roman" w:hAnsi="Times New Roman" w:cs="Times New Roman"/>
          <w:i/>
          <w:iCs/>
          <w:szCs w:val="24"/>
        </w:rPr>
        <w:t>Philosophical Transactions: Biological Sciences</w:t>
      </w:r>
      <w:r w:rsidRPr="000564C2">
        <w:rPr>
          <w:rFonts w:ascii="Times New Roman" w:hAnsi="Times New Roman" w:cs="Times New Roman"/>
          <w:szCs w:val="24"/>
        </w:rPr>
        <w:t xml:space="preserve"> 360</w:t>
      </w:r>
      <w:r w:rsidR="00EF3517">
        <w:rPr>
          <w:rFonts w:ascii="Times New Roman" w:hAnsi="Times New Roman" w:cs="Times New Roman"/>
          <w:szCs w:val="24"/>
        </w:rPr>
        <w:t xml:space="preserve"> </w:t>
      </w:r>
      <w:r w:rsidRPr="000564C2">
        <w:rPr>
          <w:rFonts w:ascii="Times New Roman" w:hAnsi="Times New Roman" w:cs="Times New Roman"/>
          <w:szCs w:val="24"/>
        </w:rPr>
        <w:t>(2005).</w:t>
      </w:r>
    </w:p>
    <w:p w14:paraId="50215D1A" w14:textId="78AE4C23" w:rsidR="000564C2" w:rsidRPr="000564C2" w:rsidRDefault="000564C2" w:rsidP="000564C2">
      <w:pPr>
        <w:pStyle w:val="FootnoteText"/>
        <w:spacing w:after="120" w:line="276" w:lineRule="auto"/>
        <w:ind w:firstLine="0"/>
        <w:jc w:val="left"/>
        <w:rPr>
          <w:sz w:val="24"/>
          <w:szCs w:val="24"/>
        </w:rPr>
      </w:pPr>
      <w:r w:rsidRPr="000564C2">
        <w:rPr>
          <w:sz w:val="24"/>
          <w:szCs w:val="24"/>
        </w:rPr>
        <w:t>Goyal</w:t>
      </w:r>
      <w:r w:rsidR="00EF3517">
        <w:rPr>
          <w:sz w:val="24"/>
          <w:szCs w:val="24"/>
        </w:rPr>
        <w:t xml:space="preserve">, </w:t>
      </w:r>
      <w:r w:rsidR="00EF3517" w:rsidRPr="000564C2">
        <w:rPr>
          <w:sz w:val="24"/>
          <w:szCs w:val="24"/>
        </w:rPr>
        <w:t>Megh</w:t>
      </w:r>
      <w:r w:rsidRPr="000564C2">
        <w:rPr>
          <w:sz w:val="24"/>
          <w:szCs w:val="24"/>
        </w:rPr>
        <w:t xml:space="preserve"> and Eric Harmsen</w:t>
      </w:r>
      <w:r w:rsidR="00EF3517">
        <w:rPr>
          <w:sz w:val="24"/>
          <w:szCs w:val="24"/>
        </w:rPr>
        <w:t>.</w:t>
      </w:r>
      <w:r w:rsidRPr="000564C2">
        <w:rPr>
          <w:sz w:val="24"/>
          <w:szCs w:val="24"/>
        </w:rPr>
        <w:t xml:space="preserve"> </w:t>
      </w:r>
      <w:r w:rsidRPr="000564C2">
        <w:rPr>
          <w:i/>
          <w:iCs/>
          <w:sz w:val="24"/>
          <w:szCs w:val="24"/>
        </w:rPr>
        <w:t>Evapotranspiration: Principles and Applications for Water Management</w:t>
      </w:r>
      <w:r w:rsidR="00EF3517">
        <w:rPr>
          <w:sz w:val="24"/>
          <w:szCs w:val="24"/>
        </w:rPr>
        <w:t xml:space="preserve">. </w:t>
      </w:r>
      <w:r w:rsidRPr="000564C2">
        <w:rPr>
          <w:sz w:val="24"/>
          <w:szCs w:val="24"/>
        </w:rPr>
        <w:t>Oakville: Apple Academic Press, 2014.</w:t>
      </w:r>
    </w:p>
    <w:p w14:paraId="2AFD8524" w14:textId="0889232B" w:rsidR="000564C2" w:rsidRPr="000564C2" w:rsidRDefault="000564C2" w:rsidP="000564C2">
      <w:pPr>
        <w:pStyle w:val="FootnoteText"/>
        <w:spacing w:after="120" w:line="276" w:lineRule="auto"/>
        <w:ind w:firstLine="0"/>
        <w:jc w:val="left"/>
        <w:rPr>
          <w:sz w:val="24"/>
          <w:szCs w:val="24"/>
        </w:rPr>
      </w:pPr>
      <w:r w:rsidRPr="000564C2">
        <w:rPr>
          <w:sz w:val="24"/>
          <w:szCs w:val="24"/>
        </w:rPr>
        <w:t>Carolan,</w:t>
      </w:r>
      <w:r w:rsidR="00EF3517">
        <w:rPr>
          <w:sz w:val="24"/>
          <w:szCs w:val="24"/>
        </w:rPr>
        <w:t xml:space="preserve"> </w:t>
      </w:r>
      <w:r w:rsidR="00EF3517" w:rsidRPr="000564C2">
        <w:rPr>
          <w:sz w:val="24"/>
          <w:szCs w:val="24"/>
        </w:rPr>
        <w:t>Michael</w:t>
      </w:r>
      <w:r w:rsidR="00EF3517">
        <w:rPr>
          <w:sz w:val="24"/>
          <w:szCs w:val="24"/>
        </w:rPr>
        <w:t>.</w:t>
      </w:r>
      <w:r w:rsidRPr="000564C2">
        <w:rPr>
          <w:sz w:val="24"/>
          <w:szCs w:val="24"/>
        </w:rPr>
        <w:t xml:space="preserve"> </w:t>
      </w:r>
      <w:r w:rsidRPr="000564C2">
        <w:rPr>
          <w:i/>
          <w:iCs/>
          <w:sz w:val="24"/>
          <w:szCs w:val="24"/>
        </w:rPr>
        <w:t>The Sociology of Food and Agriculture</w:t>
      </w:r>
      <w:r w:rsidR="00EF3517">
        <w:rPr>
          <w:i/>
          <w:iCs/>
          <w:sz w:val="24"/>
          <w:szCs w:val="24"/>
        </w:rPr>
        <w:t xml:space="preserve">. </w:t>
      </w:r>
      <w:r w:rsidRPr="000564C2">
        <w:rPr>
          <w:sz w:val="24"/>
          <w:szCs w:val="24"/>
        </w:rPr>
        <w:t>Hoboken: Taylor &amp; Francis, 2012.</w:t>
      </w:r>
    </w:p>
    <w:p w14:paraId="5AE96F9F" w14:textId="04987ED4" w:rsidR="000564C2" w:rsidRPr="000564C2" w:rsidRDefault="000564C2" w:rsidP="000564C2">
      <w:pPr>
        <w:pStyle w:val="FootnoteText"/>
        <w:spacing w:after="120" w:line="276" w:lineRule="auto"/>
        <w:ind w:firstLine="0"/>
        <w:jc w:val="left"/>
        <w:rPr>
          <w:sz w:val="24"/>
          <w:szCs w:val="24"/>
        </w:rPr>
      </w:pPr>
      <w:r w:rsidRPr="000564C2">
        <w:rPr>
          <w:sz w:val="24"/>
          <w:szCs w:val="24"/>
        </w:rPr>
        <w:t xml:space="preserve">Hwang, Yen-Ting, Dargan M. W Frierson, and Sarah M Kang. “Anthropogenic Sulfate Aerosol and the Southward Shift of Tropical Precipitation in the Late 20th Century.” </w:t>
      </w:r>
      <w:r w:rsidRPr="000564C2">
        <w:rPr>
          <w:i/>
          <w:iCs/>
          <w:sz w:val="24"/>
          <w:szCs w:val="24"/>
        </w:rPr>
        <w:t>Geophysical Research Letters</w:t>
      </w:r>
      <w:r w:rsidRPr="000564C2">
        <w:rPr>
          <w:sz w:val="24"/>
          <w:szCs w:val="24"/>
        </w:rPr>
        <w:t xml:space="preserve"> 40</w:t>
      </w:r>
      <w:r w:rsidR="00EF3517">
        <w:rPr>
          <w:sz w:val="24"/>
          <w:szCs w:val="24"/>
        </w:rPr>
        <w:t xml:space="preserve"> </w:t>
      </w:r>
      <w:r w:rsidRPr="000564C2">
        <w:rPr>
          <w:sz w:val="24"/>
          <w:szCs w:val="24"/>
        </w:rPr>
        <w:t>(2013).</w:t>
      </w:r>
    </w:p>
    <w:p w14:paraId="753FC482" w14:textId="0B14C70A" w:rsidR="000564C2" w:rsidRPr="000564C2" w:rsidRDefault="000564C2" w:rsidP="000564C2">
      <w:pPr>
        <w:pStyle w:val="FootnoteText"/>
        <w:spacing w:after="120" w:line="276" w:lineRule="auto"/>
        <w:ind w:firstLine="0"/>
        <w:jc w:val="left"/>
        <w:rPr>
          <w:sz w:val="24"/>
          <w:szCs w:val="24"/>
        </w:rPr>
      </w:pPr>
      <w:r w:rsidRPr="000564C2">
        <w:rPr>
          <w:sz w:val="24"/>
          <w:szCs w:val="24"/>
        </w:rPr>
        <w:t xml:space="preserve">Crutzen, </w:t>
      </w:r>
      <w:r w:rsidR="005722E1" w:rsidRPr="000564C2">
        <w:rPr>
          <w:sz w:val="24"/>
          <w:szCs w:val="24"/>
        </w:rPr>
        <w:t>Paul</w:t>
      </w:r>
      <w:r w:rsidR="005722E1">
        <w:rPr>
          <w:sz w:val="24"/>
          <w:szCs w:val="24"/>
        </w:rPr>
        <w:t>.</w:t>
      </w:r>
      <w:r w:rsidR="005722E1" w:rsidRPr="000564C2">
        <w:rPr>
          <w:sz w:val="24"/>
          <w:szCs w:val="24"/>
        </w:rPr>
        <w:t xml:space="preserve"> </w:t>
      </w:r>
      <w:r w:rsidRPr="000564C2">
        <w:rPr>
          <w:sz w:val="24"/>
          <w:szCs w:val="24"/>
        </w:rPr>
        <w:t>“Geology of Mankind</w:t>
      </w:r>
      <w:r w:rsidR="005722E1">
        <w:rPr>
          <w:sz w:val="24"/>
          <w:szCs w:val="24"/>
        </w:rPr>
        <w:t>.</w:t>
      </w:r>
      <w:r w:rsidRPr="000564C2">
        <w:rPr>
          <w:sz w:val="24"/>
          <w:szCs w:val="24"/>
        </w:rPr>
        <w:t xml:space="preserve">” </w:t>
      </w:r>
      <w:r w:rsidRPr="000564C2">
        <w:rPr>
          <w:i/>
          <w:iCs/>
          <w:sz w:val="24"/>
          <w:szCs w:val="24"/>
        </w:rPr>
        <w:t>Nature</w:t>
      </w:r>
      <w:r w:rsidRPr="000564C2">
        <w:rPr>
          <w:sz w:val="24"/>
          <w:szCs w:val="24"/>
        </w:rPr>
        <w:t xml:space="preserve"> 415 (2002).</w:t>
      </w:r>
    </w:p>
    <w:p w14:paraId="2A629BCD" w14:textId="67681AC7" w:rsidR="000564C2" w:rsidRPr="000564C2" w:rsidRDefault="000564C2" w:rsidP="000564C2">
      <w:pPr>
        <w:pStyle w:val="FootnoteText"/>
        <w:spacing w:after="120" w:line="276" w:lineRule="auto"/>
        <w:ind w:firstLine="0"/>
        <w:jc w:val="left"/>
        <w:rPr>
          <w:sz w:val="24"/>
          <w:szCs w:val="24"/>
        </w:rPr>
      </w:pPr>
      <w:r w:rsidRPr="000564C2">
        <w:rPr>
          <w:sz w:val="24"/>
          <w:szCs w:val="24"/>
        </w:rPr>
        <w:t>Valcik,</w:t>
      </w:r>
      <w:r w:rsidR="005722E1">
        <w:rPr>
          <w:sz w:val="24"/>
          <w:szCs w:val="24"/>
        </w:rPr>
        <w:t xml:space="preserve"> </w:t>
      </w:r>
      <w:r w:rsidR="005722E1" w:rsidRPr="000564C2">
        <w:rPr>
          <w:sz w:val="24"/>
          <w:szCs w:val="24"/>
        </w:rPr>
        <w:t>Nicolas</w:t>
      </w:r>
      <w:r w:rsidR="005722E1">
        <w:rPr>
          <w:sz w:val="24"/>
          <w:szCs w:val="24"/>
        </w:rPr>
        <w:t>.</w:t>
      </w:r>
      <w:r w:rsidRPr="000564C2">
        <w:rPr>
          <w:sz w:val="24"/>
          <w:szCs w:val="24"/>
        </w:rPr>
        <w:t xml:space="preserve"> </w:t>
      </w:r>
      <w:r w:rsidRPr="000564C2">
        <w:rPr>
          <w:i/>
          <w:iCs/>
          <w:sz w:val="24"/>
          <w:szCs w:val="24"/>
        </w:rPr>
        <w:t>Case Studies in Disaster Response and Emergency Management</w:t>
      </w:r>
      <w:r w:rsidR="005722E1">
        <w:rPr>
          <w:sz w:val="24"/>
          <w:szCs w:val="24"/>
        </w:rPr>
        <w:t xml:space="preserve">. </w:t>
      </w:r>
      <w:r w:rsidRPr="000564C2">
        <w:rPr>
          <w:sz w:val="24"/>
          <w:szCs w:val="24"/>
        </w:rPr>
        <w:t>Boca Raton: CRC Press, 2013.</w:t>
      </w:r>
    </w:p>
    <w:p w14:paraId="23FFC298" w14:textId="4813F400" w:rsidR="000564C2" w:rsidRPr="000564C2" w:rsidRDefault="000564C2" w:rsidP="000564C2">
      <w:pPr>
        <w:spacing w:line="276" w:lineRule="auto"/>
        <w:rPr>
          <w:rFonts w:ascii="Times New Roman" w:hAnsi="Times New Roman" w:cs="Times New Roman"/>
          <w:szCs w:val="24"/>
        </w:rPr>
      </w:pPr>
      <w:r w:rsidRPr="000564C2">
        <w:rPr>
          <w:rFonts w:ascii="Times New Roman" w:hAnsi="Times New Roman" w:cs="Times New Roman"/>
          <w:szCs w:val="24"/>
        </w:rPr>
        <w:t>Malm</w:t>
      </w:r>
      <w:r w:rsidR="005722E1">
        <w:rPr>
          <w:rFonts w:ascii="Times New Roman" w:hAnsi="Times New Roman" w:cs="Times New Roman"/>
          <w:szCs w:val="24"/>
        </w:rPr>
        <w:t xml:space="preserve">, </w:t>
      </w:r>
      <w:r w:rsidR="005722E1" w:rsidRPr="000564C2">
        <w:rPr>
          <w:rFonts w:ascii="Times New Roman" w:hAnsi="Times New Roman" w:cs="Times New Roman"/>
          <w:szCs w:val="24"/>
        </w:rPr>
        <w:t>Andreas</w:t>
      </w:r>
      <w:r w:rsidRPr="000564C2">
        <w:rPr>
          <w:rFonts w:ascii="Times New Roman" w:hAnsi="Times New Roman" w:cs="Times New Roman"/>
          <w:szCs w:val="24"/>
        </w:rPr>
        <w:t xml:space="preserve"> and Alf Hornborg</w:t>
      </w:r>
      <w:r w:rsidR="005722E1">
        <w:rPr>
          <w:rFonts w:ascii="Times New Roman" w:hAnsi="Times New Roman" w:cs="Times New Roman"/>
          <w:szCs w:val="24"/>
        </w:rPr>
        <w:t>.</w:t>
      </w:r>
      <w:r w:rsidRPr="000564C2">
        <w:rPr>
          <w:rFonts w:ascii="Times New Roman" w:hAnsi="Times New Roman" w:cs="Times New Roman"/>
          <w:szCs w:val="24"/>
        </w:rPr>
        <w:t xml:space="preserve"> “The Geology of Mankind? A Critique of the Anthropocene Narrative</w:t>
      </w:r>
      <w:r w:rsidR="005722E1">
        <w:rPr>
          <w:rFonts w:ascii="Times New Roman" w:hAnsi="Times New Roman" w:cs="Times New Roman"/>
          <w:szCs w:val="24"/>
        </w:rPr>
        <w:t>.</w:t>
      </w:r>
      <w:r w:rsidRPr="000564C2">
        <w:rPr>
          <w:rFonts w:ascii="Times New Roman" w:hAnsi="Times New Roman" w:cs="Times New Roman"/>
          <w:szCs w:val="24"/>
        </w:rPr>
        <w:t xml:space="preserve">” </w:t>
      </w:r>
      <w:r w:rsidRPr="000564C2">
        <w:rPr>
          <w:rFonts w:ascii="Times New Roman" w:hAnsi="Times New Roman" w:cs="Times New Roman"/>
          <w:i/>
          <w:iCs/>
          <w:szCs w:val="24"/>
        </w:rPr>
        <w:t>The Anthropocene Review</w:t>
      </w:r>
      <w:r w:rsidRPr="000564C2">
        <w:rPr>
          <w:rFonts w:ascii="Times New Roman" w:hAnsi="Times New Roman" w:cs="Times New Roman"/>
          <w:szCs w:val="24"/>
        </w:rPr>
        <w:t xml:space="preserve"> 1 (2014</w:t>
      </w:r>
      <w:r w:rsidR="005722E1">
        <w:rPr>
          <w:rFonts w:ascii="Times New Roman" w:hAnsi="Times New Roman" w:cs="Times New Roman"/>
          <w:szCs w:val="24"/>
        </w:rPr>
        <w:t>)</w:t>
      </w:r>
      <w:r w:rsidRPr="000564C2">
        <w:rPr>
          <w:rFonts w:ascii="Times New Roman" w:hAnsi="Times New Roman" w:cs="Times New Roman"/>
          <w:szCs w:val="24"/>
        </w:rPr>
        <w:t xml:space="preserve">. </w:t>
      </w:r>
    </w:p>
    <w:p w14:paraId="25D900C3" w14:textId="66E07318" w:rsidR="000564C2" w:rsidRPr="000564C2" w:rsidRDefault="000564C2" w:rsidP="000564C2">
      <w:pPr>
        <w:pStyle w:val="FootnoteText"/>
        <w:spacing w:after="120" w:line="276" w:lineRule="auto"/>
        <w:ind w:firstLine="0"/>
        <w:jc w:val="left"/>
        <w:rPr>
          <w:sz w:val="24"/>
          <w:szCs w:val="24"/>
        </w:rPr>
      </w:pPr>
      <w:r w:rsidRPr="000564C2">
        <w:rPr>
          <w:sz w:val="24"/>
          <w:szCs w:val="24"/>
        </w:rPr>
        <w:t>Martignon</w:t>
      </w:r>
      <w:r w:rsidR="005722E1">
        <w:rPr>
          <w:sz w:val="24"/>
          <w:szCs w:val="24"/>
        </w:rPr>
        <w:t xml:space="preserve">, </w:t>
      </w:r>
      <w:r w:rsidR="005722E1" w:rsidRPr="000564C2">
        <w:rPr>
          <w:sz w:val="24"/>
          <w:szCs w:val="24"/>
        </w:rPr>
        <w:t>Stefania</w:t>
      </w:r>
      <w:r w:rsidR="005722E1">
        <w:rPr>
          <w:sz w:val="24"/>
          <w:szCs w:val="24"/>
        </w:rPr>
        <w:t xml:space="preserve">. </w:t>
      </w:r>
      <w:r w:rsidRPr="000564C2">
        <w:rPr>
          <w:sz w:val="24"/>
          <w:szCs w:val="24"/>
        </w:rPr>
        <w:t>“Geochemical Characterization of Fluoride in Water, Table Salt, Active Sediment, Rock and Soil Samples, and Its Possible Relationship with the Prevalence of Enamel Fluorosis in Children in Four Municipalities of the Department of Huila (Colombia)</w:t>
      </w:r>
      <w:r w:rsidR="005722E1">
        <w:rPr>
          <w:sz w:val="24"/>
          <w:szCs w:val="24"/>
        </w:rPr>
        <w:t>.</w:t>
      </w:r>
      <w:r w:rsidRPr="000564C2">
        <w:rPr>
          <w:sz w:val="24"/>
          <w:szCs w:val="24"/>
        </w:rPr>
        <w:t xml:space="preserve">” </w:t>
      </w:r>
      <w:r w:rsidRPr="000564C2">
        <w:rPr>
          <w:i/>
          <w:iCs/>
          <w:sz w:val="24"/>
          <w:szCs w:val="24"/>
        </w:rPr>
        <w:t>Environmental Monitoring and Assessment</w:t>
      </w:r>
      <w:r w:rsidRPr="000564C2">
        <w:rPr>
          <w:sz w:val="24"/>
          <w:szCs w:val="24"/>
        </w:rPr>
        <w:t xml:space="preserve"> 189 (2017).</w:t>
      </w:r>
    </w:p>
    <w:p w14:paraId="10FEED85" w14:textId="3C6F27DD" w:rsidR="000564C2" w:rsidRPr="000564C2" w:rsidRDefault="000564C2" w:rsidP="000564C2">
      <w:pPr>
        <w:spacing w:line="276" w:lineRule="auto"/>
        <w:rPr>
          <w:rFonts w:ascii="Times New Roman" w:hAnsi="Times New Roman" w:cs="Times New Roman"/>
          <w:szCs w:val="24"/>
        </w:rPr>
      </w:pPr>
      <w:r w:rsidRPr="000564C2">
        <w:rPr>
          <w:rFonts w:ascii="Times New Roman" w:hAnsi="Times New Roman" w:cs="Times New Roman"/>
          <w:szCs w:val="24"/>
        </w:rPr>
        <w:t>Chen,</w:t>
      </w:r>
      <w:r w:rsidR="007D4971">
        <w:rPr>
          <w:rFonts w:ascii="Times New Roman" w:hAnsi="Times New Roman" w:cs="Times New Roman"/>
          <w:szCs w:val="24"/>
        </w:rPr>
        <w:t xml:space="preserve"> </w:t>
      </w:r>
      <w:r w:rsidR="007D4971" w:rsidRPr="000564C2">
        <w:rPr>
          <w:rFonts w:ascii="Times New Roman" w:hAnsi="Times New Roman" w:cs="Times New Roman"/>
          <w:szCs w:val="24"/>
        </w:rPr>
        <w:t>Yuyu</w:t>
      </w:r>
      <w:r w:rsidR="007D4971">
        <w:rPr>
          <w:rFonts w:ascii="Times New Roman" w:hAnsi="Times New Roman" w:cs="Times New Roman"/>
          <w:szCs w:val="24"/>
        </w:rPr>
        <w:t>.</w:t>
      </w:r>
      <w:r w:rsidRPr="000564C2">
        <w:rPr>
          <w:rFonts w:ascii="Times New Roman" w:hAnsi="Times New Roman" w:cs="Times New Roman"/>
          <w:szCs w:val="24"/>
        </w:rPr>
        <w:t xml:space="preserve"> “Evidence on the Impact of Sustained Exposure to Air Pollution on Life Expectancy from China's Huai River Policy</w:t>
      </w:r>
      <w:r w:rsidR="007D4971">
        <w:rPr>
          <w:rFonts w:ascii="Times New Roman" w:hAnsi="Times New Roman" w:cs="Times New Roman"/>
          <w:szCs w:val="24"/>
        </w:rPr>
        <w:t>.</w:t>
      </w:r>
      <w:r w:rsidRPr="000564C2">
        <w:rPr>
          <w:rFonts w:ascii="Times New Roman" w:hAnsi="Times New Roman" w:cs="Times New Roman"/>
          <w:szCs w:val="24"/>
        </w:rPr>
        <w:t xml:space="preserve">” </w:t>
      </w:r>
      <w:r w:rsidRPr="000564C2">
        <w:rPr>
          <w:rFonts w:ascii="Times New Roman" w:hAnsi="Times New Roman" w:cs="Times New Roman"/>
          <w:i/>
          <w:iCs/>
          <w:szCs w:val="24"/>
        </w:rPr>
        <w:t>Proceedings of the National Academy of Sciences of the United States of America</w:t>
      </w:r>
      <w:r w:rsidRPr="000564C2">
        <w:rPr>
          <w:rFonts w:ascii="Times New Roman" w:hAnsi="Times New Roman" w:cs="Times New Roman"/>
          <w:szCs w:val="24"/>
        </w:rPr>
        <w:t xml:space="preserve"> 110 (2013)</w:t>
      </w:r>
      <w:r w:rsidR="007D4971">
        <w:rPr>
          <w:rFonts w:ascii="Times New Roman" w:hAnsi="Times New Roman" w:cs="Times New Roman"/>
          <w:szCs w:val="24"/>
        </w:rPr>
        <w:t>.</w:t>
      </w:r>
    </w:p>
    <w:p w14:paraId="1EEAAF08" w14:textId="5A389F23" w:rsidR="000564C2" w:rsidRPr="000564C2" w:rsidRDefault="000564C2" w:rsidP="000564C2">
      <w:pPr>
        <w:pStyle w:val="FootnoteText"/>
        <w:spacing w:after="120" w:line="276" w:lineRule="auto"/>
        <w:ind w:firstLine="0"/>
        <w:jc w:val="left"/>
        <w:rPr>
          <w:sz w:val="24"/>
          <w:szCs w:val="24"/>
        </w:rPr>
      </w:pPr>
      <w:r w:rsidRPr="000564C2">
        <w:rPr>
          <w:sz w:val="24"/>
          <w:szCs w:val="24"/>
        </w:rPr>
        <w:t>Goodland</w:t>
      </w:r>
      <w:r w:rsidR="00C245BA">
        <w:rPr>
          <w:sz w:val="24"/>
          <w:szCs w:val="24"/>
        </w:rPr>
        <w:t xml:space="preserve">, </w:t>
      </w:r>
      <w:r w:rsidR="00C245BA" w:rsidRPr="000564C2">
        <w:rPr>
          <w:sz w:val="24"/>
          <w:szCs w:val="24"/>
        </w:rPr>
        <w:t>Robert</w:t>
      </w:r>
      <w:r w:rsidRPr="000564C2">
        <w:rPr>
          <w:sz w:val="24"/>
          <w:szCs w:val="24"/>
        </w:rPr>
        <w:t xml:space="preserve"> and Jeff Anhang</w:t>
      </w:r>
      <w:r w:rsidR="00C245BA">
        <w:rPr>
          <w:sz w:val="24"/>
          <w:szCs w:val="24"/>
        </w:rPr>
        <w:t>.</w:t>
      </w:r>
      <w:r w:rsidRPr="000564C2">
        <w:rPr>
          <w:sz w:val="24"/>
          <w:szCs w:val="24"/>
        </w:rPr>
        <w:t xml:space="preserve"> “Livestock and Climate Change</w:t>
      </w:r>
      <w:r w:rsidR="00C245BA">
        <w:rPr>
          <w:sz w:val="24"/>
          <w:szCs w:val="24"/>
        </w:rPr>
        <w:t>.</w:t>
      </w:r>
      <w:r w:rsidRPr="000564C2">
        <w:rPr>
          <w:sz w:val="24"/>
          <w:szCs w:val="24"/>
        </w:rPr>
        <w:t xml:space="preserve">” </w:t>
      </w:r>
      <w:r w:rsidRPr="000564C2">
        <w:rPr>
          <w:i/>
          <w:iCs/>
          <w:sz w:val="24"/>
          <w:szCs w:val="24"/>
        </w:rPr>
        <w:t>World Watch</w:t>
      </w:r>
      <w:r w:rsidRPr="000564C2">
        <w:rPr>
          <w:sz w:val="24"/>
          <w:szCs w:val="24"/>
        </w:rPr>
        <w:t xml:space="preserve"> November/December (2009).</w:t>
      </w:r>
    </w:p>
    <w:p w14:paraId="2C4983B9" w14:textId="47A918D4" w:rsidR="000564C2" w:rsidRPr="000564C2" w:rsidRDefault="00F6434F" w:rsidP="000564C2">
      <w:pPr>
        <w:pStyle w:val="FootnoteText"/>
        <w:spacing w:after="120" w:line="276" w:lineRule="auto"/>
        <w:ind w:firstLine="0"/>
        <w:jc w:val="left"/>
        <w:rPr>
          <w:sz w:val="24"/>
          <w:szCs w:val="24"/>
        </w:rPr>
      </w:pPr>
      <w:r w:rsidRPr="000564C2">
        <w:rPr>
          <w:sz w:val="24"/>
          <w:szCs w:val="24"/>
        </w:rPr>
        <w:t>UN</w:t>
      </w:r>
      <w:r>
        <w:rPr>
          <w:sz w:val="24"/>
          <w:szCs w:val="24"/>
        </w:rPr>
        <w:t>. “</w:t>
      </w:r>
      <w:r w:rsidR="000564C2" w:rsidRPr="000564C2">
        <w:rPr>
          <w:sz w:val="24"/>
          <w:szCs w:val="24"/>
        </w:rPr>
        <w:t>Human development report 2007/8</w:t>
      </w:r>
      <w:r>
        <w:rPr>
          <w:sz w:val="24"/>
          <w:szCs w:val="24"/>
        </w:rPr>
        <w:t xml:space="preserve">.” Accessed </w:t>
      </w:r>
      <w:r w:rsidR="002E479D">
        <w:rPr>
          <w:sz w:val="24"/>
          <w:szCs w:val="24"/>
        </w:rPr>
        <w:t xml:space="preserve">3 May 2020. </w:t>
      </w:r>
      <w:r w:rsidR="000564C2" w:rsidRPr="000564C2">
        <w:rPr>
          <w:sz w:val="24"/>
          <w:szCs w:val="24"/>
        </w:rPr>
        <w:t>http://hdr.undp.org/en/content/human-development-report-20078.</w:t>
      </w:r>
    </w:p>
    <w:p w14:paraId="1B4F246E" w14:textId="6A1F21FB" w:rsidR="000564C2" w:rsidRPr="000564C2" w:rsidRDefault="000564C2" w:rsidP="000564C2">
      <w:pPr>
        <w:pStyle w:val="FootnoteText"/>
        <w:spacing w:after="120" w:line="276" w:lineRule="auto"/>
        <w:ind w:firstLine="0"/>
        <w:jc w:val="left"/>
        <w:rPr>
          <w:sz w:val="24"/>
          <w:szCs w:val="24"/>
        </w:rPr>
      </w:pPr>
      <w:r w:rsidRPr="000564C2">
        <w:rPr>
          <w:sz w:val="24"/>
          <w:szCs w:val="24"/>
        </w:rPr>
        <w:t>Ciplet</w:t>
      </w:r>
      <w:r w:rsidR="00350E42">
        <w:rPr>
          <w:sz w:val="24"/>
          <w:szCs w:val="24"/>
        </w:rPr>
        <w:t xml:space="preserve">, </w:t>
      </w:r>
      <w:r w:rsidR="00350E42" w:rsidRPr="000564C2">
        <w:rPr>
          <w:sz w:val="24"/>
          <w:szCs w:val="24"/>
        </w:rPr>
        <w:t>David</w:t>
      </w:r>
      <w:r w:rsidR="00350E42">
        <w:rPr>
          <w:sz w:val="24"/>
          <w:szCs w:val="24"/>
        </w:rPr>
        <w:t xml:space="preserve">. </w:t>
      </w:r>
      <w:r w:rsidRPr="000564C2">
        <w:rPr>
          <w:i/>
          <w:iCs/>
          <w:sz w:val="24"/>
          <w:szCs w:val="24"/>
        </w:rPr>
        <w:t>Power in a Warming World: The New Global Politics of Climate Change and the Remaking of Environmental Inequality</w:t>
      </w:r>
      <w:r w:rsidR="00350E42">
        <w:rPr>
          <w:sz w:val="24"/>
          <w:szCs w:val="24"/>
        </w:rPr>
        <w:t xml:space="preserve">. </w:t>
      </w:r>
      <w:r w:rsidRPr="000564C2">
        <w:rPr>
          <w:sz w:val="24"/>
          <w:szCs w:val="24"/>
        </w:rPr>
        <w:t>London: MIT Press, 2015.</w:t>
      </w:r>
    </w:p>
    <w:p w14:paraId="463549BB" w14:textId="334933AB" w:rsidR="000564C2" w:rsidRPr="000564C2" w:rsidRDefault="000564C2" w:rsidP="000564C2">
      <w:pPr>
        <w:pStyle w:val="FootnoteText"/>
        <w:spacing w:after="120" w:line="276" w:lineRule="auto"/>
        <w:ind w:firstLine="0"/>
        <w:jc w:val="left"/>
        <w:rPr>
          <w:sz w:val="24"/>
          <w:szCs w:val="24"/>
        </w:rPr>
      </w:pPr>
      <w:r w:rsidRPr="000564C2">
        <w:rPr>
          <w:sz w:val="24"/>
          <w:szCs w:val="24"/>
        </w:rPr>
        <w:t>Ajao</w:t>
      </w:r>
      <w:r w:rsidR="000861B2">
        <w:rPr>
          <w:sz w:val="24"/>
          <w:szCs w:val="24"/>
        </w:rPr>
        <w:t xml:space="preserve">, </w:t>
      </w:r>
      <w:r w:rsidR="000861B2" w:rsidRPr="000564C2">
        <w:rPr>
          <w:sz w:val="24"/>
          <w:szCs w:val="24"/>
        </w:rPr>
        <w:t xml:space="preserve">E. A. </w:t>
      </w:r>
      <w:r w:rsidRPr="000564C2">
        <w:rPr>
          <w:sz w:val="24"/>
          <w:szCs w:val="24"/>
        </w:rPr>
        <w:t>and Sam Anurigwo. “Land-Based Sources of Pollution in the Niger Delta, Nigeria</w:t>
      </w:r>
      <w:r w:rsidR="000861B2">
        <w:rPr>
          <w:sz w:val="24"/>
          <w:szCs w:val="24"/>
        </w:rPr>
        <w:t>.</w:t>
      </w:r>
      <w:r w:rsidRPr="000564C2">
        <w:rPr>
          <w:sz w:val="24"/>
          <w:szCs w:val="24"/>
        </w:rPr>
        <w:t xml:space="preserve">” </w:t>
      </w:r>
      <w:r w:rsidRPr="000564C2">
        <w:rPr>
          <w:i/>
          <w:iCs/>
          <w:sz w:val="24"/>
          <w:szCs w:val="24"/>
        </w:rPr>
        <w:t>Ambio: A Journal of the Human Environment</w:t>
      </w:r>
      <w:r w:rsidRPr="000564C2">
        <w:rPr>
          <w:sz w:val="24"/>
          <w:szCs w:val="24"/>
        </w:rPr>
        <w:t xml:space="preserve"> 31 (2002).</w:t>
      </w:r>
    </w:p>
    <w:p w14:paraId="055A6680" w14:textId="0854B36F" w:rsidR="000564C2" w:rsidRPr="000564C2" w:rsidRDefault="00FA39FF" w:rsidP="000564C2">
      <w:pPr>
        <w:pStyle w:val="FootnoteText"/>
        <w:spacing w:after="120" w:line="276" w:lineRule="auto"/>
        <w:ind w:firstLine="0"/>
        <w:jc w:val="left"/>
        <w:rPr>
          <w:sz w:val="24"/>
          <w:szCs w:val="24"/>
        </w:rPr>
      </w:pPr>
      <w:r w:rsidRPr="000564C2">
        <w:rPr>
          <w:sz w:val="24"/>
          <w:szCs w:val="24"/>
        </w:rPr>
        <w:t>Science Advances</w:t>
      </w:r>
      <w:r>
        <w:rPr>
          <w:sz w:val="24"/>
          <w:szCs w:val="24"/>
        </w:rPr>
        <w:t xml:space="preserve">. </w:t>
      </w:r>
      <w:r w:rsidR="000564C2" w:rsidRPr="000564C2">
        <w:rPr>
          <w:sz w:val="24"/>
          <w:szCs w:val="24"/>
        </w:rPr>
        <w:t>“The intensification of the water footprint of hydraulic fracturing</w:t>
      </w:r>
      <w:r>
        <w:rPr>
          <w:sz w:val="24"/>
          <w:szCs w:val="24"/>
        </w:rPr>
        <w:t>.</w:t>
      </w:r>
      <w:r w:rsidR="000564C2" w:rsidRPr="000564C2">
        <w:rPr>
          <w:sz w:val="24"/>
          <w:szCs w:val="24"/>
        </w:rPr>
        <w:t>”</w:t>
      </w:r>
      <w:r>
        <w:rPr>
          <w:sz w:val="24"/>
          <w:szCs w:val="24"/>
        </w:rPr>
        <w:t xml:space="preserve"> A</w:t>
      </w:r>
      <w:r w:rsidR="000564C2" w:rsidRPr="000564C2">
        <w:rPr>
          <w:sz w:val="24"/>
          <w:szCs w:val="24"/>
        </w:rPr>
        <w:t>ccessed 15 May 2020</w:t>
      </w:r>
      <w:r>
        <w:rPr>
          <w:sz w:val="24"/>
          <w:szCs w:val="24"/>
        </w:rPr>
        <w:t>.</w:t>
      </w:r>
      <w:r w:rsidR="000564C2" w:rsidRPr="000564C2">
        <w:rPr>
          <w:sz w:val="24"/>
          <w:szCs w:val="24"/>
        </w:rPr>
        <w:t xml:space="preserve"> https://advances.sciencemag.org/content/4/8/eaar5982.full.</w:t>
      </w:r>
    </w:p>
    <w:p w14:paraId="781AEEA0" w14:textId="51E495A8" w:rsidR="000564C2" w:rsidRPr="000564C2" w:rsidRDefault="000564C2" w:rsidP="000564C2">
      <w:pPr>
        <w:pStyle w:val="FootnoteText"/>
        <w:spacing w:after="120" w:line="276" w:lineRule="auto"/>
        <w:ind w:firstLine="0"/>
        <w:jc w:val="left"/>
        <w:rPr>
          <w:sz w:val="24"/>
          <w:szCs w:val="24"/>
        </w:rPr>
      </w:pPr>
      <w:r w:rsidRPr="000564C2">
        <w:rPr>
          <w:sz w:val="24"/>
          <w:szCs w:val="24"/>
        </w:rPr>
        <w:t>Haviland, William</w:t>
      </w:r>
      <w:r w:rsidR="00542691">
        <w:rPr>
          <w:sz w:val="24"/>
          <w:szCs w:val="24"/>
        </w:rPr>
        <w:t xml:space="preserve">. </w:t>
      </w:r>
      <w:r w:rsidRPr="000564C2">
        <w:rPr>
          <w:sz w:val="24"/>
          <w:szCs w:val="24"/>
        </w:rPr>
        <w:t xml:space="preserve">“Stature at Tikal, Guatemala: Implications for Ancient Maya Demography and Social Organization.” </w:t>
      </w:r>
      <w:r w:rsidRPr="000564C2">
        <w:rPr>
          <w:i/>
          <w:iCs/>
          <w:sz w:val="24"/>
          <w:szCs w:val="24"/>
        </w:rPr>
        <w:t>American Antiquity</w:t>
      </w:r>
      <w:r w:rsidRPr="000564C2">
        <w:rPr>
          <w:sz w:val="24"/>
          <w:szCs w:val="24"/>
        </w:rPr>
        <w:t xml:space="preserve"> 32</w:t>
      </w:r>
      <w:r w:rsidR="0056574B">
        <w:rPr>
          <w:sz w:val="24"/>
          <w:szCs w:val="24"/>
        </w:rPr>
        <w:t xml:space="preserve"> </w:t>
      </w:r>
      <w:r w:rsidRPr="000564C2">
        <w:rPr>
          <w:sz w:val="24"/>
          <w:szCs w:val="24"/>
        </w:rPr>
        <w:t>(1967).</w:t>
      </w:r>
    </w:p>
    <w:p w14:paraId="3C415DD2" w14:textId="7B36265A" w:rsidR="000564C2" w:rsidRPr="000564C2" w:rsidRDefault="000564C2" w:rsidP="000564C2">
      <w:pPr>
        <w:pStyle w:val="FootnoteText"/>
        <w:spacing w:after="120" w:line="276" w:lineRule="auto"/>
        <w:ind w:firstLine="0"/>
        <w:jc w:val="left"/>
        <w:rPr>
          <w:sz w:val="24"/>
          <w:szCs w:val="24"/>
        </w:rPr>
      </w:pPr>
      <w:r w:rsidRPr="000564C2">
        <w:rPr>
          <w:sz w:val="24"/>
          <w:szCs w:val="24"/>
        </w:rPr>
        <w:t>Mayer</w:t>
      </w:r>
      <w:r w:rsidR="00B44475">
        <w:rPr>
          <w:sz w:val="24"/>
          <w:szCs w:val="24"/>
        </w:rPr>
        <w:t xml:space="preserve">, </w:t>
      </w:r>
      <w:r w:rsidR="00B44475" w:rsidRPr="000564C2">
        <w:rPr>
          <w:sz w:val="24"/>
          <w:szCs w:val="24"/>
        </w:rPr>
        <w:t>Kenneth</w:t>
      </w:r>
      <w:r w:rsidRPr="000564C2">
        <w:rPr>
          <w:sz w:val="24"/>
          <w:szCs w:val="24"/>
        </w:rPr>
        <w:t xml:space="preserve"> and Hank Pizer</w:t>
      </w:r>
      <w:r w:rsidR="00B44475">
        <w:rPr>
          <w:sz w:val="24"/>
          <w:szCs w:val="24"/>
        </w:rPr>
        <w:t>.</w:t>
      </w:r>
      <w:r w:rsidRPr="000564C2">
        <w:rPr>
          <w:sz w:val="24"/>
          <w:szCs w:val="24"/>
        </w:rPr>
        <w:t xml:space="preserve"> </w:t>
      </w:r>
      <w:r w:rsidRPr="000564C2">
        <w:rPr>
          <w:i/>
          <w:iCs/>
          <w:sz w:val="24"/>
          <w:szCs w:val="24"/>
        </w:rPr>
        <w:t>The Social Ecology of Infectious Diseases</w:t>
      </w:r>
      <w:r w:rsidR="00B44475">
        <w:rPr>
          <w:sz w:val="24"/>
          <w:szCs w:val="24"/>
        </w:rPr>
        <w:t xml:space="preserve">. </w:t>
      </w:r>
      <w:r w:rsidRPr="000564C2">
        <w:rPr>
          <w:sz w:val="24"/>
          <w:szCs w:val="24"/>
        </w:rPr>
        <w:t>Amsterdam: Academic, 2008.</w:t>
      </w:r>
    </w:p>
    <w:p w14:paraId="32B91822" w14:textId="5379B704" w:rsidR="000564C2" w:rsidRPr="000564C2" w:rsidRDefault="000564C2" w:rsidP="000564C2">
      <w:pPr>
        <w:pStyle w:val="FootnoteText"/>
        <w:spacing w:after="120" w:line="276" w:lineRule="auto"/>
        <w:ind w:firstLine="0"/>
        <w:jc w:val="left"/>
        <w:rPr>
          <w:sz w:val="24"/>
          <w:szCs w:val="24"/>
        </w:rPr>
      </w:pPr>
      <w:r w:rsidRPr="000564C2">
        <w:rPr>
          <w:sz w:val="24"/>
          <w:szCs w:val="24"/>
        </w:rPr>
        <w:t>Smit,</w:t>
      </w:r>
      <w:r w:rsidR="00497C42">
        <w:rPr>
          <w:sz w:val="24"/>
          <w:szCs w:val="24"/>
        </w:rPr>
        <w:t xml:space="preserve"> </w:t>
      </w:r>
      <w:r w:rsidR="00497C42" w:rsidRPr="000564C2">
        <w:rPr>
          <w:sz w:val="24"/>
          <w:szCs w:val="24"/>
        </w:rPr>
        <w:t>Barry</w:t>
      </w:r>
      <w:r w:rsidR="00497C42">
        <w:rPr>
          <w:sz w:val="24"/>
          <w:szCs w:val="24"/>
        </w:rPr>
        <w:t>.</w:t>
      </w:r>
      <w:r w:rsidRPr="000564C2">
        <w:rPr>
          <w:sz w:val="24"/>
          <w:szCs w:val="24"/>
        </w:rPr>
        <w:t xml:space="preserve"> "The Science of Adaption: A framework for Assessment</w:t>
      </w:r>
      <w:r w:rsidR="00497C42">
        <w:rPr>
          <w:sz w:val="24"/>
          <w:szCs w:val="24"/>
        </w:rPr>
        <w:t>.</w:t>
      </w:r>
      <w:r w:rsidRPr="000564C2">
        <w:rPr>
          <w:sz w:val="24"/>
          <w:szCs w:val="24"/>
        </w:rPr>
        <w:t xml:space="preserve">" </w:t>
      </w:r>
      <w:r w:rsidRPr="000564C2">
        <w:rPr>
          <w:i/>
          <w:iCs/>
          <w:sz w:val="24"/>
          <w:szCs w:val="24"/>
        </w:rPr>
        <w:t>Mitigation and Adaption Strategies for Global Change</w:t>
      </w:r>
      <w:r w:rsidRPr="000564C2">
        <w:rPr>
          <w:sz w:val="24"/>
          <w:szCs w:val="24"/>
        </w:rPr>
        <w:t xml:space="preserve"> 4 (1999).</w:t>
      </w:r>
    </w:p>
    <w:p w14:paraId="01DF97D6" w14:textId="06C2D877" w:rsidR="000564C2" w:rsidRPr="000564C2" w:rsidRDefault="00617352" w:rsidP="000564C2">
      <w:pPr>
        <w:pStyle w:val="FootnoteText"/>
        <w:spacing w:after="120" w:line="276" w:lineRule="auto"/>
        <w:ind w:firstLine="0"/>
        <w:jc w:val="left"/>
        <w:rPr>
          <w:sz w:val="24"/>
          <w:szCs w:val="24"/>
        </w:rPr>
      </w:pPr>
      <w:r>
        <w:rPr>
          <w:sz w:val="24"/>
          <w:szCs w:val="24"/>
        </w:rPr>
        <w:lastRenderedPageBreak/>
        <w:t>Reuters. “</w:t>
      </w:r>
      <w:r w:rsidR="00094D24">
        <w:rPr>
          <w:sz w:val="24"/>
          <w:szCs w:val="24"/>
        </w:rPr>
        <w:t xml:space="preserve">Air Conditioning For All?.” Accessed </w:t>
      </w:r>
      <w:r w:rsidR="003619ED">
        <w:rPr>
          <w:sz w:val="24"/>
          <w:szCs w:val="24"/>
        </w:rPr>
        <w:t xml:space="preserve">7 May 2020. </w:t>
      </w:r>
      <w:r w:rsidR="00094D24" w:rsidRPr="00094D24">
        <w:rPr>
          <w:sz w:val="24"/>
          <w:szCs w:val="24"/>
        </w:rPr>
        <w:t>https://uk.reuters.com/article/climate-change-cooling/air-conditioning-for-all-hotter-world-faces-risk-of-cooling-poverty-idUKL5N261213</w:t>
      </w:r>
      <w:r w:rsidR="00094D24">
        <w:rPr>
          <w:sz w:val="24"/>
          <w:szCs w:val="24"/>
        </w:rPr>
        <w:t>.</w:t>
      </w:r>
    </w:p>
    <w:p w14:paraId="79D0AB27" w14:textId="2CD17E49" w:rsidR="000564C2" w:rsidRPr="000564C2" w:rsidRDefault="000564C2" w:rsidP="000564C2">
      <w:pPr>
        <w:pStyle w:val="FootnoteText"/>
        <w:spacing w:after="120" w:line="276" w:lineRule="auto"/>
        <w:ind w:firstLine="0"/>
        <w:jc w:val="left"/>
        <w:rPr>
          <w:sz w:val="24"/>
          <w:szCs w:val="24"/>
        </w:rPr>
      </w:pPr>
      <w:r w:rsidRPr="000564C2">
        <w:rPr>
          <w:sz w:val="24"/>
          <w:szCs w:val="24"/>
        </w:rPr>
        <w:t>Romero-Daza</w:t>
      </w:r>
      <w:r w:rsidR="007B303F">
        <w:rPr>
          <w:sz w:val="24"/>
          <w:szCs w:val="24"/>
        </w:rPr>
        <w:t xml:space="preserve">, </w:t>
      </w:r>
      <w:r w:rsidR="007B303F" w:rsidRPr="000564C2">
        <w:rPr>
          <w:sz w:val="24"/>
          <w:szCs w:val="24"/>
        </w:rPr>
        <w:t>Nancy</w:t>
      </w:r>
      <w:r w:rsidR="007B303F">
        <w:rPr>
          <w:sz w:val="24"/>
          <w:szCs w:val="24"/>
        </w:rPr>
        <w:t>.</w:t>
      </w:r>
      <w:r w:rsidRPr="000564C2">
        <w:rPr>
          <w:sz w:val="24"/>
          <w:szCs w:val="24"/>
        </w:rPr>
        <w:t xml:space="preserve"> ““Nobody Gives a Damn If I Live or Die”: Violence, Drugs, and Street- Level Prostitution in Inner- City Hartford, Connecticut</w:t>
      </w:r>
      <w:r w:rsidR="007B303F">
        <w:rPr>
          <w:sz w:val="24"/>
          <w:szCs w:val="24"/>
        </w:rPr>
        <w:t>.</w:t>
      </w:r>
      <w:r w:rsidRPr="000564C2">
        <w:rPr>
          <w:sz w:val="24"/>
          <w:szCs w:val="24"/>
        </w:rPr>
        <w:t xml:space="preserve">” </w:t>
      </w:r>
      <w:r w:rsidRPr="000564C2">
        <w:rPr>
          <w:i/>
          <w:iCs/>
          <w:sz w:val="24"/>
          <w:szCs w:val="24"/>
        </w:rPr>
        <w:t>Medical Anthropology</w:t>
      </w:r>
      <w:r w:rsidRPr="000564C2">
        <w:rPr>
          <w:sz w:val="24"/>
          <w:szCs w:val="24"/>
        </w:rPr>
        <w:t xml:space="preserve"> 22 (2003).</w:t>
      </w:r>
    </w:p>
    <w:p w14:paraId="55430323" w14:textId="4597A4B1" w:rsidR="000564C2" w:rsidRPr="000564C2" w:rsidRDefault="00953FB0" w:rsidP="000564C2">
      <w:pPr>
        <w:pStyle w:val="FootnoteText"/>
        <w:spacing w:after="120" w:line="276" w:lineRule="auto"/>
        <w:ind w:firstLine="0"/>
        <w:jc w:val="left"/>
        <w:rPr>
          <w:sz w:val="24"/>
          <w:szCs w:val="24"/>
        </w:rPr>
      </w:pPr>
      <w:r w:rsidRPr="000564C2">
        <w:rPr>
          <w:sz w:val="24"/>
          <w:szCs w:val="24"/>
        </w:rPr>
        <w:t>NPR</w:t>
      </w:r>
      <w:r>
        <w:rPr>
          <w:sz w:val="24"/>
          <w:szCs w:val="24"/>
        </w:rPr>
        <w:t xml:space="preserve">. </w:t>
      </w:r>
      <w:r w:rsidR="000564C2" w:rsidRPr="000564C2">
        <w:rPr>
          <w:sz w:val="24"/>
          <w:szCs w:val="24"/>
        </w:rPr>
        <w:t>“A Taste For Pork Helped A Deadly Virus Jump To Humans</w:t>
      </w:r>
      <w:r>
        <w:rPr>
          <w:sz w:val="24"/>
          <w:szCs w:val="24"/>
        </w:rPr>
        <w:t>.</w:t>
      </w:r>
      <w:r w:rsidR="000564C2" w:rsidRPr="000564C2">
        <w:rPr>
          <w:sz w:val="24"/>
          <w:szCs w:val="24"/>
        </w:rPr>
        <w:t>"</w:t>
      </w:r>
      <w:r>
        <w:rPr>
          <w:sz w:val="24"/>
          <w:szCs w:val="24"/>
        </w:rPr>
        <w:t xml:space="preserve"> A</w:t>
      </w:r>
      <w:r w:rsidR="000564C2" w:rsidRPr="000564C2">
        <w:rPr>
          <w:sz w:val="24"/>
          <w:szCs w:val="24"/>
        </w:rPr>
        <w:t>ccessed 22 May 2020</w:t>
      </w:r>
      <w:r>
        <w:rPr>
          <w:sz w:val="24"/>
          <w:szCs w:val="24"/>
        </w:rPr>
        <w:t xml:space="preserve">. </w:t>
      </w:r>
      <w:r w:rsidR="000564C2" w:rsidRPr="000564C2">
        <w:rPr>
          <w:sz w:val="24"/>
          <w:szCs w:val="24"/>
        </w:rPr>
        <w:t>https://www.npr.org/sections/goatsandsoda/2017/02/25/515258818/a-taste-for-pork-helped-a-deadly-virus-jump-to-humans.</w:t>
      </w:r>
    </w:p>
    <w:p w14:paraId="06DC2BF6" w14:textId="2E658EAB" w:rsidR="000564C2" w:rsidRPr="000564C2" w:rsidRDefault="000564C2" w:rsidP="000564C2">
      <w:pPr>
        <w:pStyle w:val="FootnoteText"/>
        <w:spacing w:after="120" w:line="276" w:lineRule="auto"/>
        <w:ind w:firstLine="0"/>
        <w:jc w:val="left"/>
        <w:rPr>
          <w:i/>
          <w:iCs/>
          <w:sz w:val="24"/>
          <w:szCs w:val="24"/>
        </w:rPr>
      </w:pPr>
      <w:r w:rsidRPr="000564C2">
        <w:rPr>
          <w:sz w:val="24"/>
          <w:szCs w:val="24"/>
        </w:rPr>
        <w:t>Baer</w:t>
      </w:r>
      <w:r w:rsidR="00953FB0">
        <w:rPr>
          <w:sz w:val="24"/>
          <w:szCs w:val="24"/>
        </w:rPr>
        <w:t xml:space="preserve">, </w:t>
      </w:r>
      <w:r w:rsidR="00953FB0" w:rsidRPr="000564C2">
        <w:rPr>
          <w:sz w:val="24"/>
          <w:szCs w:val="24"/>
        </w:rPr>
        <w:t>Hans</w:t>
      </w:r>
      <w:r w:rsidRPr="000564C2">
        <w:rPr>
          <w:sz w:val="24"/>
          <w:szCs w:val="24"/>
        </w:rPr>
        <w:t xml:space="preserve"> and Merrill Singer</w:t>
      </w:r>
      <w:r w:rsidR="00953FB0">
        <w:rPr>
          <w:sz w:val="24"/>
          <w:szCs w:val="24"/>
        </w:rPr>
        <w:t>.</w:t>
      </w:r>
      <w:r w:rsidRPr="000564C2">
        <w:rPr>
          <w:sz w:val="24"/>
          <w:szCs w:val="24"/>
        </w:rPr>
        <w:t xml:space="preserve"> </w:t>
      </w:r>
      <w:r w:rsidRPr="000564C2">
        <w:rPr>
          <w:i/>
          <w:iCs/>
          <w:sz w:val="24"/>
          <w:szCs w:val="24"/>
        </w:rPr>
        <w:t>Global Warming and the Political Ecology of Health: Emerging Crises and Systemic Solutions</w:t>
      </w:r>
      <w:r w:rsidR="00953FB0">
        <w:rPr>
          <w:sz w:val="24"/>
          <w:szCs w:val="24"/>
        </w:rPr>
        <w:t xml:space="preserve">. </w:t>
      </w:r>
      <w:r w:rsidRPr="000564C2">
        <w:rPr>
          <w:sz w:val="24"/>
          <w:szCs w:val="24"/>
        </w:rPr>
        <w:t>Walnut Creek: Left Coast Press, 2009.</w:t>
      </w:r>
    </w:p>
    <w:p w14:paraId="478F3277" w14:textId="66D33EF1" w:rsidR="000564C2" w:rsidRPr="000564C2" w:rsidRDefault="000564C2" w:rsidP="000564C2">
      <w:pPr>
        <w:pStyle w:val="FootnoteText"/>
        <w:spacing w:after="120" w:line="276" w:lineRule="auto"/>
        <w:ind w:firstLine="0"/>
        <w:jc w:val="left"/>
        <w:rPr>
          <w:sz w:val="24"/>
          <w:szCs w:val="24"/>
        </w:rPr>
      </w:pPr>
      <w:r w:rsidRPr="000564C2">
        <w:rPr>
          <w:sz w:val="24"/>
          <w:szCs w:val="24"/>
        </w:rPr>
        <w:t>McElroy</w:t>
      </w:r>
      <w:r w:rsidR="00563EBB">
        <w:rPr>
          <w:sz w:val="24"/>
          <w:szCs w:val="24"/>
        </w:rPr>
        <w:t xml:space="preserve">, </w:t>
      </w:r>
      <w:r w:rsidR="00563EBB" w:rsidRPr="000564C2">
        <w:rPr>
          <w:sz w:val="24"/>
          <w:szCs w:val="24"/>
        </w:rPr>
        <w:t>Ann</w:t>
      </w:r>
      <w:r w:rsidRPr="000564C2">
        <w:rPr>
          <w:sz w:val="24"/>
          <w:szCs w:val="24"/>
        </w:rPr>
        <w:t xml:space="preserve"> and Patricia Townsend</w:t>
      </w:r>
      <w:r w:rsidR="00563EBB">
        <w:rPr>
          <w:sz w:val="24"/>
          <w:szCs w:val="24"/>
        </w:rPr>
        <w:t>.</w:t>
      </w:r>
      <w:r w:rsidRPr="000564C2">
        <w:rPr>
          <w:sz w:val="24"/>
          <w:szCs w:val="24"/>
        </w:rPr>
        <w:t xml:space="preserve"> </w:t>
      </w:r>
      <w:r w:rsidRPr="000564C2">
        <w:rPr>
          <w:i/>
          <w:iCs/>
          <w:sz w:val="24"/>
          <w:szCs w:val="24"/>
        </w:rPr>
        <w:t>Medical Anthropology in Ecological Perspective</w:t>
      </w:r>
      <w:r w:rsidR="0082347E">
        <w:rPr>
          <w:sz w:val="24"/>
          <w:szCs w:val="24"/>
        </w:rPr>
        <w:t xml:space="preserve">. </w:t>
      </w:r>
      <w:r w:rsidRPr="000564C2">
        <w:rPr>
          <w:sz w:val="24"/>
          <w:szCs w:val="24"/>
        </w:rPr>
        <w:t>New York: Westview Press, 2015</w:t>
      </w:r>
      <w:r w:rsidR="0082347E">
        <w:rPr>
          <w:sz w:val="24"/>
          <w:szCs w:val="24"/>
        </w:rPr>
        <w:t>.</w:t>
      </w:r>
    </w:p>
    <w:p w14:paraId="5B8FDE9D" w14:textId="25FC8CF4" w:rsidR="000564C2" w:rsidRPr="000564C2" w:rsidRDefault="000564C2" w:rsidP="000564C2">
      <w:pPr>
        <w:spacing w:line="276" w:lineRule="auto"/>
        <w:rPr>
          <w:rFonts w:ascii="Times New Roman" w:hAnsi="Times New Roman" w:cs="Times New Roman"/>
          <w:szCs w:val="24"/>
        </w:rPr>
      </w:pPr>
      <w:r w:rsidRPr="000564C2">
        <w:rPr>
          <w:rFonts w:ascii="Times New Roman" w:hAnsi="Times New Roman" w:cs="Times New Roman"/>
          <w:szCs w:val="24"/>
        </w:rPr>
        <w:t>Glaeser</w:t>
      </w:r>
      <w:r w:rsidR="00CF2B2F">
        <w:rPr>
          <w:rFonts w:ascii="Times New Roman" w:hAnsi="Times New Roman" w:cs="Times New Roman"/>
          <w:szCs w:val="24"/>
        </w:rPr>
        <w:t xml:space="preserve">, </w:t>
      </w:r>
      <w:r w:rsidR="00CF2B2F" w:rsidRPr="000564C2">
        <w:rPr>
          <w:rFonts w:ascii="Times New Roman" w:hAnsi="Times New Roman" w:cs="Times New Roman"/>
          <w:szCs w:val="24"/>
        </w:rPr>
        <w:t>Bernhard</w:t>
      </w:r>
      <w:r w:rsidR="00CF2B2F">
        <w:rPr>
          <w:rFonts w:ascii="Times New Roman" w:hAnsi="Times New Roman" w:cs="Times New Roman"/>
          <w:szCs w:val="24"/>
        </w:rPr>
        <w:t>.</w:t>
      </w:r>
      <w:r w:rsidRPr="000564C2">
        <w:rPr>
          <w:rFonts w:ascii="Times New Roman" w:hAnsi="Times New Roman" w:cs="Times New Roman"/>
          <w:szCs w:val="24"/>
        </w:rPr>
        <w:t xml:space="preserve"> </w:t>
      </w:r>
      <w:r w:rsidRPr="000564C2">
        <w:rPr>
          <w:rFonts w:ascii="Times New Roman" w:hAnsi="Times New Roman" w:cs="Times New Roman"/>
          <w:i/>
          <w:iCs/>
          <w:szCs w:val="24"/>
        </w:rPr>
        <w:t>The Green Revolution Revisited: Critique and Alternatives</w:t>
      </w:r>
      <w:r w:rsidR="00CF2B2F">
        <w:rPr>
          <w:rFonts w:ascii="Times New Roman" w:hAnsi="Times New Roman" w:cs="Times New Roman"/>
          <w:szCs w:val="24"/>
        </w:rPr>
        <w:t xml:space="preserve">. </w:t>
      </w:r>
      <w:r w:rsidRPr="000564C2">
        <w:rPr>
          <w:rFonts w:ascii="Times New Roman" w:hAnsi="Times New Roman" w:cs="Times New Roman"/>
          <w:szCs w:val="24"/>
        </w:rPr>
        <w:t>Oxon: Routledge, 2011.</w:t>
      </w:r>
    </w:p>
    <w:p w14:paraId="395C0FA4" w14:textId="765C1DC9" w:rsidR="000564C2" w:rsidRPr="000564C2" w:rsidRDefault="000564C2" w:rsidP="000564C2">
      <w:pPr>
        <w:spacing w:line="276" w:lineRule="auto"/>
        <w:rPr>
          <w:rFonts w:ascii="Times New Roman" w:hAnsi="Times New Roman" w:cs="Times New Roman"/>
          <w:szCs w:val="24"/>
        </w:rPr>
      </w:pPr>
      <w:r w:rsidRPr="000564C2">
        <w:rPr>
          <w:rFonts w:ascii="Times New Roman" w:hAnsi="Times New Roman" w:cs="Times New Roman"/>
          <w:szCs w:val="24"/>
        </w:rPr>
        <w:t>Frank</w:t>
      </w:r>
      <w:r w:rsidR="00AF3B80">
        <w:rPr>
          <w:rFonts w:ascii="Times New Roman" w:hAnsi="Times New Roman" w:cs="Times New Roman"/>
          <w:szCs w:val="24"/>
        </w:rPr>
        <w:t xml:space="preserve">, </w:t>
      </w:r>
      <w:r w:rsidR="00AF3B80" w:rsidRPr="000564C2">
        <w:rPr>
          <w:rFonts w:ascii="Times New Roman" w:hAnsi="Times New Roman" w:cs="Times New Roman"/>
          <w:szCs w:val="24"/>
        </w:rPr>
        <w:t>Christina</w:t>
      </w:r>
      <w:r w:rsidRPr="000564C2">
        <w:rPr>
          <w:rFonts w:ascii="Times New Roman" w:hAnsi="Times New Roman" w:cs="Times New Roman"/>
          <w:szCs w:val="24"/>
        </w:rPr>
        <w:t xml:space="preserve"> et al. “The Role of Parenteral Antischistosomal Therapy in the Spread of Hepatitis C Virus in Egypt</w:t>
      </w:r>
      <w:r w:rsidR="00AF3B80">
        <w:rPr>
          <w:rFonts w:ascii="Times New Roman" w:hAnsi="Times New Roman" w:cs="Times New Roman"/>
          <w:szCs w:val="24"/>
        </w:rPr>
        <w:t>.</w:t>
      </w:r>
      <w:r w:rsidRPr="000564C2">
        <w:rPr>
          <w:rFonts w:ascii="Times New Roman" w:hAnsi="Times New Roman" w:cs="Times New Roman"/>
          <w:szCs w:val="24"/>
        </w:rPr>
        <w:t xml:space="preserve">” </w:t>
      </w:r>
      <w:r w:rsidRPr="000564C2">
        <w:rPr>
          <w:rFonts w:ascii="Times New Roman" w:hAnsi="Times New Roman" w:cs="Times New Roman"/>
          <w:i/>
          <w:iCs/>
          <w:szCs w:val="24"/>
        </w:rPr>
        <w:t xml:space="preserve">Lancet </w:t>
      </w:r>
      <w:r w:rsidRPr="000564C2">
        <w:rPr>
          <w:rFonts w:ascii="Times New Roman" w:hAnsi="Times New Roman" w:cs="Times New Roman"/>
          <w:szCs w:val="24"/>
        </w:rPr>
        <w:t>355 (2000).</w:t>
      </w:r>
    </w:p>
    <w:p w14:paraId="1BD0E1EB" w14:textId="6C0B6ACF" w:rsidR="000564C2" w:rsidRPr="000564C2" w:rsidRDefault="000564C2" w:rsidP="000564C2">
      <w:pPr>
        <w:pStyle w:val="FootnoteText"/>
        <w:spacing w:after="120" w:line="276" w:lineRule="auto"/>
        <w:ind w:firstLine="0"/>
        <w:jc w:val="left"/>
        <w:rPr>
          <w:sz w:val="24"/>
          <w:szCs w:val="24"/>
        </w:rPr>
      </w:pPr>
      <w:r w:rsidRPr="000564C2">
        <w:rPr>
          <w:sz w:val="24"/>
          <w:szCs w:val="24"/>
        </w:rPr>
        <w:t>Cohen</w:t>
      </w:r>
      <w:r w:rsidR="008C0CCF">
        <w:rPr>
          <w:sz w:val="24"/>
          <w:szCs w:val="24"/>
        </w:rPr>
        <w:t xml:space="preserve">, </w:t>
      </w:r>
      <w:r w:rsidR="008C0CCF" w:rsidRPr="000564C2">
        <w:rPr>
          <w:sz w:val="24"/>
          <w:szCs w:val="24"/>
        </w:rPr>
        <w:t>Mark</w:t>
      </w:r>
      <w:r w:rsidRPr="000564C2">
        <w:rPr>
          <w:sz w:val="24"/>
          <w:szCs w:val="24"/>
        </w:rPr>
        <w:t xml:space="preserve"> and Gillian Crane-Kramer</w:t>
      </w:r>
      <w:r w:rsidR="008C0CCF">
        <w:rPr>
          <w:sz w:val="24"/>
          <w:szCs w:val="24"/>
        </w:rPr>
        <w:t>.</w:t>
      </w:r>
      <w:r w:rsidRPr="000564C2">
        <w:rPr>
          <w:sz w:val="24"/>
          <w:szCs w:val="24"/>
        </w:rPr>
        <w:t xml:space="preserve"> </w:t>
      </w:r>
      <w:r w:rsidRPr="000564C2">
        <w:rPr>
          <w:i/>
          <w:iCs/>
          <w:sz w:val="24"/>
          <w:szCs w:val="24"/>
        </w:rPr>
        <w:t>Ancient health: skeletal indicators of agricultural and economic intensification</w:t>
      </w:r>
      <w:r w:rsidR="008C0CCF">
        <w:rPr>
          <w:sz w:val="24"/>
          <w:szCs w:val="24"/>
        </w:rPr>
        <w:t xml:space="preserve">. </w:t>
      </w:r>
      <w:r w:rsidRPr="000564C2">
        <w:rPr>
          <w:sz w:val="24"/>
          <w:szCs w:val="24"/>
        </w:rPr>
        <w:t>Florida: University Press of Florida, 2007.</w:t>
      </w:r>
    </w:p>
    <w:p w14:paraId="3777B7F5" w14:textId="322BB2DB" w:rsidR="000564C2" w:rsidRPr="000564C2" w:rsidRDefault="000564C2" w:rsidP="000564C2">
      <w:pPr>
        <w:spacing w:line="276" w:lineRule="auto"/>
        <w:rPr>
          <w:rFonts w:ascii="Times New Roman" w:hAnsi="Times New Roman" w:cs="Times New Roman"/>
          <w:szCs w:val="24"/>
        </w:rPr>
      </w:pPr>
      <w:r w:rsidRPr="000564C2">
        <w:rPr>
          <w:rFonts w:ascii="Times New Roman" w:hAnsi="Times New Roman" w:cs="Times New Roman"/>
          <w:szCs w:val="24"/>
        </w:rPr>
        <w:t>Winterhalter</w:t>
      </w:r>
      <w:r w:rsidR="0031448E">
        <w:rPr>
          <w:rFonts w:ascii="Times New Roman" w:hAnsi="Times New Roman" w:cs="Times New Roman"/>
          <w:szCs w:val="24"/>
        </w:rPr>
        <w:t xml:space="preserve">, </w:t>
      </w:r>
      <w:r w:rsidR="0031448E" w:rsidRPr="000564C2">
        <w:rPr>
          <w:rFonts w:ascii="Times New Roman" w:hAnsi="Times New Roman" w:cs="Times New Roman"/>
          <w:szCs w:val="24"/>
        </w:rPr>
        <w:t>Bruce</w:t>
      </w:r>
      <w:r w:rsidRPr="000564C2">
        <w:rPr>
          <w:rFonts w:ascii="Times New Roman" w:hAnsi="Times New Roman" w:cs="Times New Roman"/>
          <w:szCs w:val="24"/>
        </w:rPr>
        <w:t xml:space="preserve"> and Eric Alden Smith</w:t>
      </w:r>
      <w:r w:rsidR="0031448E">
        <w:rPr>
          <w:rFonts w:ascii="Times New Roman" w:hAnsi="Times New Roman" w:cs="Times New Roman"/>
          <w:szCs w:val="24"/>
        </w:rPr>
        <w:t xml:space="preserve">. </w:t>
      </w:r>
      <w:r w:rsidRPr="000564C2">
        <w:rPr>
          <w:rFonts w:ascii="Times New Roman" w:hAnsi="Times New Roman" w:cs="Times New Roman"/>
          <w:i/>
          <w:iCs/>
          <w:szCs w:val="24"/>
        </w:rPr>
        <w:t>Hunter-Gatherer Foraging Strategies: Ethnographic and Archaeological Analyses</w:t>
      </w:r>
      <w:r w:rsidR="0031448E">
        <w:rPr>
          <w:rFonts w:ascii="Times New Roman" w:hAnsi="Times New Roman" w:cs="Times New Roman"/>
          <w:i/>
          <w:iCs/>
          <w:szCs w:val="24"/>
        </w:rPr>
        <w:t xml:space="preserve">. </w:t>
      </w:r>
      <w:r w:rsidRPr="000564C2">
        <w:rPr>
          <w:rFonts w:ascii="Times New Roman" w:hAnsi="Times New Roman" w:cs="Times New Roman"/>
          <w:szCs w:val="24"/>
        </w:rPr>
        <w:t>Chicago: University of Chicago Press, 1981.</w:t>
      </w:r>
    </w:p>
    <w:p w14:paraId="06D905B4" w14:textId="2A57236D" w:rsidR="000564C2" w:rsidRPr="000564C2" w:rsidRDefault="000564C2" w:rsidP="000564C2">
      <w:pPr>
        <w:pStyle w:val="FootnoteText"/>
        <w:spacing w:after="120" w:line="276" w:lineRule="auto"/>
        <w:ind w:firstLine="0"/>
        <w:jc w:val="left"/>
        <w:rPr>
          <w:sz w:val="24"/>
          <w:szCs w:val="24"/>
        </w:rPr>
      </w:pPr>
      <w:r w:rsidRPr="000564C2">
        <w:rPr>
          <w:sz w:val="24"/>
          <w:szCs w:val="24"/>
        </w:rPr>
        <w:t>Yang,</w:t>
      </w:r>
      <w:r w:rsidR="000134F0">
        <w:rPr>
          <w:sz w:val="24"/>
          <w:szCs w:val="24"/>
        </w:rPr>
        <w:t xml:space="preserve"> </w:t>
      </w:r>
      <w:r w:rsidR="000134F0" w:rsidRPr="000564C2">
        <w:rPr>
          <w:sz w:val="24"/>
          <w:szCs w:val="24"/>
        </w:rPr>
        <w:t>Dali</w:t>
      </w:r>
      <w:r w:rsidR="000134F0">
        <w:rPr>
          <w:sz w:val="24"/>
          <w:szCs w:val="24"/>
        </w:rPr>
        <w:t>.</w:t>
      </w:r>
      <w:r w:rsidRPr="000564C2">
        <w:rPr>
          <w:sz w:val="24"/>
          <w:szCs w:val="24"/>
        </w:rPr>
        <w:t xml:space="preserve"> </w:t>
      </w:r>
      <w:r w:rsidRPr="000564C2">
        <w:rPr>
          <w:i/>
          <w:iCs/>
          <w:sz w:val="24"/>
          <w:szCs w:val="24"/>
        </w:rPr>
        <w:t>Calamity and Reform in China: State, Rural Society, and Institutional Change Since the Great Leap Famine</w:t>
      </w:r>
      <w:r w:rsidR="000134F0">
        <w:rPr>
          <w:sz w:val="24"/>
          <w:szCs w:val="24"/>
        </w:rPr>
        <w:t xml:space="preserve">. </w:t>
      </w:r>
      <w:r w:rsidRPr="000564C2">
        <w:rPr>
          <w:sz w:val="24"/>
          <w:szCs w:val="24"/>
        </w:rPr>
        <w:t>Stanford: Stanford University Press, 1996.</w:t>
      </w:r>
    </w:p>
    <w:p w14:paraId="4EBC79BF" w14:textId="05D0E26C" w:rsidR="000564C2" w:rsidRPr="000564C2" w:rsidRDefault="000564C2" w:rsidP="000564C2">
      <w:pPr>
        <w:pStyle w:val="FootnoteText"/>
        <w:spacing w:after="120" w:line="276" w:lineRule="auto"/>
        <w:ind w:firstLine="0"/>
        <w:jc w:val="left"/>
        <w:rPr>
          <w:sz w:val="24"/>
          <w:szCs w:val="24"/>
        </w:rPr>
      </w:pPr>
      <w:r w:rsidRPr="000564C2">
        <w:rPr>
          <w:sz w:val="24"/>
          <w:szCs w:val="24"/>
        </w:rPr>
        <w:t>René</w:t>
      </w:r>
      <w:r w:rsidR="00E671F0">
        <w:rPr>
          <w:sz w:val="24"/>
          <w:szCs w:val="24"/>
        </w:rPr>
        <w:t xml:space="preserve">, </w:t>
      </w:r>
      <w:r w:rsidR="00E671F0" w:rsidRPr="000564C2">
        <w:rPr>
          <w:sz w:val="24"/>
          <w:szCs w:val="24"/>
        </w:rPr>
        <w:t>Dubos</w:t>
      </w:r>
      <w:r w:rsidRPr="000564C2">
        <w:rPr>
          <w:sz w:val="24"/>
          <w:szCs w:val="24"/>
        </w:rPr>
        <w:t xml:space="preserve">. “Science and Man's Nature.” </w:t>
      </w:r>
      <w:r w:rsidRPr="000564C2">
        <w:rPr>
          <w:i/>
          <w:iCs/>
          <w:sz w:val="24"/>
          <w:szCs w:val="24"/>
        </w:rPr>
        <w:t>Daedalus</w:t>
      </w:r>
      <w:r w:rsidRPr="000564C2">
        <w:rPr>
          <w:sz w:val="24"/>
          <w:szCs w:val="24"/>
        </w:rPr>
        <w:t xml:space="preserve"> 94</w:t>
      </w:r>
      <w:r w:rsidR="00E671F0">
        <w:rPr>
          <w:sz w:val="24"/>
          <w:szCs w:val="24"/>
        </w:rPr>
        <w:t xml:space="preserve"> </w:t>
      </w:r>
      <w:r w:rsidRPr="000564C2">
        <w:rPr>
          <w:sz w:val="24"/>
          <w:szCs w:val="24"/>
        </w:rPr>
        <w:t>(1965</w:t>
      </w:r>
      <w:r w:rsidR="00E671F0">
        <w:rPr>
          <w:sz w:val="24"/>
          <w:szCs w:val="24"/>
        </w:rPr>
        <w:t>)</w:t>
      </w:r>
      <w:r w:rsidRPr="000564C2">
        <w:rPr>
          <w:sz w:val="24"/>
          <w:szCs w:val="24"/>
        </w:rPr>
        <w:t>.</w:t>
      </w:r>
    </w:p>
    <w:p w14:paraId="2F97666F" w14:textId="2225A242" w:rsidR="000564C2" w:rsidRPr="000564C2" w:rsidRDefault="00A06F32" w:rsidP="000564C2">
      <w:pPr>
        <w:pStyle w:val="FootnoteText"/>
        <w:spacing w:after="120" w:line="276" w:lineRule="auto"/>
        <w:ind w:firstLine="0"/>
        <w:jc w:val="left"/>
        <w:rPr>
          <w:sz w:val="24"/>
          <w:szCs w:val="24"/>
        </w:rPr>
      </w:pPr>
      <w:r w:rsidRPr="000564C2">
        <w:rPr>
          <w:sz w:val="24"/>
          <w:szCs w:val="24"/>
        </w:rPr>
        <w:t>IUCN</w:t>
      </w:r>
      <w:r>
        <w:rPr>
          <w:sz w:val="24"/>
          <w:szCs w:val="24"/>
        </w:rPr>
        <w:t xml:space="preserve">. </w:t>
      </w:r>
      <w:r w:rsidR="000564C2" w:rsidRPr="000564C2">
        <w:rPr>
          <w:sz w:val="24"/>
          <w:szCs w:val="24"/>
        </w:rPr>
        <w:t>“Climate Change</w:t>
      </w:r>
      <w:r>
        <w:rPr>
          <w:sz w:val="24"/>
          <w:szCs w:val="24"/>
        </w:rPr>
        <w:t>.</w:t>
      </w:r>
      <w:r w:rsidR="000564C2" w:rsidRPr="000564C2">
        <w:rPr>
          <w:sz w:val="24"/>
          <w:szCs w:val="24"/>
        </w:rPr>
        <w:t>”</w:t>
      </w:r>
      <w:r>
        <w:rPr>
          <w:sz w:val="24"/>
          <w:szCs w:val="24"/>
        </w:rPr>
        <w:t xml:space="preserve"> A</w:t>
      </w:r>
      <w:r w:rsidR="000564C2" w:rsidRPr="000564C2">
        <w:rPr>
          <w:sz w:val="24"/>
          <w:szCs w:val="24"/>
        </w:rPr>
        <w:t>ccessed 12 May 2020</w:t>
      </w:r>
      <w:r>
        <w:rPr>
          <w:sz w:val="24"/>
          <w:szCs w:val="24"/>
        </w:rPr>
        <w:t>.</w:t>
      </w:r>
      <w:r w:rsidR="000564C2" w:rsidRPr="000564C2">
        <w:rPr>
          <w:sz w:val="24"/>
          <w:szCs w:val="24"/>
        </w:rPr>
        <w:t xml:space="preserve"> https://www.iucn.org/theme/climate-change.</w:t>
      </w:r>
    </w:p>
    <w:p w14:paraId="5E418631" w14:textId="69057E8A" w:rsidR="000564C2" w:rsidRPr="000564C2" w:rsidRDefault="000564C2" w:rsidP="000564C2">
      <w:pPr>
        <w:pStyle w:val="FootnoteText"/>
        <w:spacing w:after="120" w:line="276" w:lineRule="auto"/>
        <w:ind w:firstLine="0"/>
        <w:jc w:val="left"/>
        <w:rPr>
          <w:sz w:val="24"/>
          <w:szCs w:val="24"/>
        </w:rPr>
      </w:pPr>
      <w:r w:rsidRPr="000564C2">
        <w:rPr>
          <w:sz w:val="24"/>
          <w:szCs w:val="24"/>
        </w:rPr>
        <w:t>Ax,</w:t>
      </w:r>
      <w:r w:rsidR="00A06F32">
        <w:rPr>
          <w:sz w:val="24"/>
          <w:szCs w:val="24"/>
        </w:rPr>
        <w:t xml:space="preserve"> </w:t>
      </w:r>
      <w:r w:rsidR="00A06F32" w:rsidRPr="000564C2">
        <w:rPr>
          <w:sz w:val="24"/>
          <w:szCs w:val="24"/>
        </w:rPr>
        <w:t>Christina Folke</w:t>
      </w:r>
      <w:r w:rsidR="00A06F32">
        <w:rPr>
          <w:sz w:val="24"/>
          <w:szCs w:val="24"/>
        </w:rPr>
        <w:t>.</w:t>
      </w:r>
      <w:r w:rsidRPr="000564C2">
        <w:rPr>
          <w:sz w:val="24"/>
          <w:szCs w:val="24"/>
        </w:rPr>
        <w:t xml:space="preserve"> </w:t>
      </w:r>
      <w:r w:rsidRPr="000564C2">
        <w:rPr>
          <w:i/>
          <w:iCs/>
          <w:sz w:val="24"/>
          <w:szCs w:val="24"/>
        </w:rPr>
        <w:t>Cultivating the Colonies: Colonial States and Their Environmental Legacies</w:t>
      </w:r>
      <w:r w:rsidR="00A06F32">
        <w:rPr>
          <w:sz w:val="24"/>
          <w:szCs w:val="24"/>
        </w:rPr>
        <w:t xml:space="preserve">. </w:t>
      </w:r>
      <w:r w:rsidRPr="000564C2">
        <w:rPr>
          <w:sz w:val="24"/>
          <w:szCs w:val="24"/>
        </w:rPr>
        <w:t xml:space="preserve">Athens: Ohio University Press, 2011. </w:t>
      </w:r>
    </w:p>
    <w:p w14:paraId="4D0D1DA5" w14:textId="6B2CFBFA" w:rsidR="000564C2" w:rsidRPr="000564C2" w:rsidRDefault="000564C2" w:rsidP="000564C2">
      <w:pPr>
        <w:pStyle w:val="FootnoteText"/>
        <w:spacing w:after="120" w:line="276" w:lineRule="auto"/>
        <w:ind w:firstLine="0"/>
        <w:jc w:val="left"/>
        <w:rPr>
          <w:sz w:val="24"/>
          <w:szCs w:val="24"/>
        </w:rPr>
      </w:pPr>
      <w:r w:rsidRPr="000564C2">
        <w:rPr>
          <w:sz w:val="24"/>
          <w:szCs w:val="24"/>
        </w:rPr>
        <w:t>Wilmsen,</w:t>
      </w:r>
      <w:r w:rsidR="008366E3">
        <w:rPr>
          <w:sz w:val="24"/>
          <w:szCs w:val="24"/>
        </w:rPr>
        <w:t xml:space="preserve"> </w:t>
      </w:r>
      <w:r w:rsidR="008366E3" w:rsidRPr="000564C2">
        <w:rPr>
          <w:sz w:val="24"/>
          <w:szCs w:val="24"/>
        </w:rPr>
        <w:t>Edwin</w:t>
      </w:r>
      <w:r w:rsidR="008366E3">
        <w:rPr>
          <w:sz w:val="24"/>
          <w:szCs w:val="24"/>
        </w:rPr>
        <w:t>.</w:t>
      </w:r>
      <w:r w:rsidRPr="000564C2">
        <w:rPr>
          <w:sz w:val="24"/>
          <w:szCs w:val="24"/>
        </w:rPr>
        <w:t xml:space="preserve"> “Studies in Diet, Nutrition, and Fertility Among a Group of Kalahari</w:t>
      </w:r>
      <w:r w:rsidR="008366E3">
        <w:rPr>
          <w:sz w:val="24"/>
          <w:szCs w:val="24"/>
        </w:rPr>
        <w:t xml:space="preserve"> </w:t>
      </w:r>
      <w:r w:rsidRPr="000564C2">
        <w:rPr>
          <w:sz w:val="24"/>
          <w:szCs w:val="24"/>
        </w:rPr>
        <w:t>Bushmen in Botswana</w:t>
      </w:r>
      <w:r w:rsidR="008366E3">
        <w:rPr>
          <w:sz w:val="24"/>
          <w:szCs w:val="24"/>
        </w:rPr>
        <w:t>.</w:t>
      </w:r>
      <w:r w:rsidRPr="000564C2">
        <w:rPr>
          <w:sz w:val="24"/>
          <w:szCs w:val="24"/>
        </w:rPr>
        <w:t xml:space="preserve">” </w:t>
      </w:r>
      <w:r w:rsidRPr="000564C2">
        <w:rPr>
          <w:i/>
          <w:iCs/>
          <w:sz w:val="24"/>
          <w:szCs w:val="24"/>
        </w:rPr>
        <w:t>Social Science Information</w:t>
      </w:r>
      <w:r w:rsidRPr="000564C2">
        <w:rPr>
          <w:sz w:val="24"/>
          <w:szCs w:val="24"/>
        </w:rPr>
        <w:t xml:space="preserve"> 21 (1982).</w:t>
      </w:r>
    </w:p>
    <w:p w14:paraId="0B3723AD" w14:textId="56912615" w:rsidR="000564C2" w:rsidRPr="000564C2" w:rsidRDefault="008120B4" w:rsidP="000564C2">
      <w:pPr>
        <w:pStyle w:val="FootnoteText"/>
        <w:spacing w:after="120" w:line="276" w:lineRule="auto"/>
        <w:ind w:firstLine="0"/>
        <w:jc w:val="left"/>
        <w:rPr>
          <w:sz w:val="24"/>
          <w:szCs w:val="24"/>
        </w:rPr>
      </w:pPr>
      <w:r w:rsidRPr="000564C2">
        <w:rPr>
          <w:sz w:val="24"/>
          <w:szCs w:val="24"/>
        </w:rPr>
        <w:t>IUCN</w:t>
      </w:r>
      <w:r>
        <w:rPr>
          <w:sz w:val="24"/>
          <w:szCs w:val="24"/>
        </w:rPr>
        <w:t xml:space="preserve">. </w:t>
      </w:r>
      <w:r w:rsidR="000564C2" w:rsidRPr="000564C2">
        <w:rPr>
          <w:sz w:val="24"/>
          <w:szCs w:val="24"/>
        </w:rPr>
        <w:t>“Indigenous Peoples</w:t>
      </w:r>
      <w:r>
        <w:rPr>
          <w:sz w:val="24"/>
          <w:szCs w:val="24"/>
        </w:rPr>
        <w:t>.</w:t>
      </w:r>
      <w:r w:rsidR="000564C2" w:rsidRPr="000564C2">
        <w:rPr>
          <w:sz w:val="24"/>
          <w:szCs w:val="24"/>
        </w:rPr>
        <w:t>”</w:t>
      </w:r>
      <w:r>
        <w:rPr>
          <w:sz w:val="24"/>
          <w:szCs w:val="24"/>
        </w:rPr>
        <w:t xml:space="preserve"> A</w:t>
      </w:r>
      <w:r w:rsidR="000564C2" w:rsidRPr="000564C2">
        <w:rPr>
          <w:sz w:val="24"/>
          <w:szCs w:val="24"/>
        </w:rPr>
        <w:t>ccessed 12 May 2020</w:t>
      </w:r>
      <w:r>
        <w:rPr>
          <w:sz w:val="24"/>
          <w:szCs w:val="24"/>
        </w:rPr>
        <w:t>.</w:t>
      </w:r>
      <w:r w:rsidR="000564C2" w:rsidRPr="000564C2">
        <w:rPr>
          <w:sz w:val="24"/>
          <w:szCs w:val="24"/>
        </w:rPr>
        <w:t xml:space="preserve"> https://www.iucn.org/theme/governance-and-rights/our-work/indigenous-peoples. </w:t>
      </w:r>
    </w:p>
    <w:p w14:paraId="5D606A6E" w14:textId="621505BA" w:rsidR="000564C2" w:rsidRPr="000564C2" w:rsidRDefault="000564C2" w:rsidP="000564C2">
      <w:pPr>
        <w:pStyle w:val="FootnoteText"/>
        <w:spacing w:after="120" w:line="276" w:lineRule="auto"/>
        <w:ind w:firstLine="0"/>
        <w:jc w:val="left"/>
        <w:rPr>
          <w:sz w:val="24"/>
          <w:szCs w:val="24"/>
        </w:rPr>
      </w:pPr>
      <w:r w:rsidRPr="000564C2">
        <w:rPr>
          <w:sz w:val="24"/>
          <w:szCs w:val="24"/>
        </w:rPr>
        <w:t xml:space="preserve">Morton, </w:t>
      </w:r>
      <w:r w:rsidR="002B0EA5" w:rsidRPr="000564C2">
        <w:rPr>
          <w:sz w:val="24"/>
          <w:szCs w:val="24"/>
        </w:rPr>
        <w:t xml:space="preserve">J.F. </w:t>
      </w:r>
      <w:r w:rsidRPr="000564C2">
        <w:rPr>
          <w:sz w:val="24"/>
          <w:szCs w:val="24"/>
        </w:rPr>
        <w:t>“The Impact of Climate Change on Smallholder and Subsistence Agriculture</w:t>
      </w:r>
      <w:r w:rsidR="00600BF1">
        <w:rPr>
          <w:sz w:val="24"/>
          <w:szCs w:val="24"/>
        </w:rPr>
        <w:t>.</w:t>
      </w:r>
      <w:r w:rsidRPr="000564C2">
        <w:rPr>
          <w:sz w:val="24"/>
          <w:szCs w:val="24"/>
        </w:rPr>
        <w:t>”</w:t>
      </w:r>
      <w:r w:rsidR="00600BF1">
        <w:rPr>
          <w:sz w:val="24"/>
          <w:szCs w:val="24"/>
        </w:rPr>
        <w:t xml:space="preserve"> </w:t>
      </w:r>
      <w:r w:rsidRPr="000564C2">
        <w:rPr>
          <w:i/>
          <w:iCs/>
          <w:sz w:val="24"/>
          <w:szCs w:val="24"/>
        </w:rPr>
        <w:t>Proceedings</w:t>
      </w:r>
      <w:r w:rsidR="00600BF1">
        <w:rPr>
          <w:i/>
          <w:iCs/>
          <w:sz w:val="24"/>
          <w:szCs w:val="24"/>
        </w:rPr>
        <w:t xml:space="preserve"> </w:t>
      </w:r>
      <w:r w:rsidRPr="000564C2">
        <w:rPr>
          <w:i/>
          <w:iCs/>
          <w:sz w:val="24"/>
          <w:szCs w:val="24"/>
        </w:rPr>
        <w:t>- National Academy of Sciences USA</w:t>
      </w:r>
      <w:r w:rsidRPr="000564C2">
        <w:rPr>
          <w:sz w:val="24"/>
          <w:szCs w:val="24"/>
        </w:rPr>
        <w:t xml:space="preserve"> 104 (2007</w:t>
      </w:r>
      <w:r w:rsidR="0010427F">
        <w:rPr>
          <w:sz w:val="24"/>
          <w:szCs w:val="24"/>
        </w:rPr>
        <w:t>)</w:t>
      </w:r>
      <w:r w:rsidRPr="000564C2">
        <w:rPr>
          <w:sz w:val="24"/>
          <w:szCs w:val="24"/>
        </w:rPr>
        <w:t xml:space="preserve">. </w:t>
      </w:r>
    </w:p>
    <w:p w14:paraId="56DFDBD8" w14:textId="2F84A41D" w:rsidR="000564C2" w:rsidRPr="000564C2" w:rsidRDefault="000564C2" w:rsidP="000564C2">
      <w:pPr>
        <w:autoSpaceDE w:val="0"/>
        <w:autoSpaceDN w:val="0"/>
        <w:adjustRightInd w:val="0"/>
        <w:spacing w:line="276" w:lineRule="auto"/>
        <w:rPr>
          <w:rFonts w:ascii="Times New Roman" w:hAnsi="Times New Roman" w:cs="Times New Roman"/>
          <w:szCs w:val="24"/>
        </w:rPr>
      </w:pPr>
      <w:r w:rsidRPr="000564C2">
        <w:rPr>
          <w:rFonts w:ascii="Times New Roman" w:hAnsi="Times New Roman" w:cs="Times New Roman"/>
          <w:szCs w:val="24"/>
        </w:rPr>
        <w:t>Lu,</w:t>
      </w:r>
      <w:r w:rsidR="001570F7">
        <w:rPr>
          <w:rFonts w:ascii="Times New Roman" w:hAnsi="Times New Roman" w:cs="Times New Roman"/>
          <w:szCs w:val="24"/>
        </w:rPr>
        <w:t xml:space="preserve"> </w:t>
      </w:r>
      <w:r w:rsidR="001570F7" w:rsidRPr="000564C2">
        <w:rPr>
          <w:rFonts w:ascii="Times New Roman" w:hAnsi="Times New Roman" w:cs="Times New Roman"/>
          <w:szCs w:val="24"/>
        </w:rPr>
        <w:t>Chensheng</w:t>
      </w:r>
      <w:r w:rsidR="001570F7">
        <w:rPr>
          <w:rFonts w:ascii="Times New Roman" w:hAnsi="Times New Roman" w:cs="Times New Roman"/>
          <w:szCs w:val="24"/>
        </w:rPr>
        <w:t xml:space="preserve">. </w:t>
      </w:r>
      <w:r w:rsidRPr="000564C2">
        <w:rPr>
          <w:rFonts w:ascii="Times New Roman" w:hAnsi="Times New Roman" w:cs="Times New Roman"/>
          <w:szCs w:val="24"/>
        </w:rPr>
        <w:t xml:space="preserve"> </w:t>
      </w:r>
      <w:r w:rsidR="001570F7">
        <w:rPr>
          <w:rFonts w:ascii="Times New Roman" w:hAnsi="Times New Roman" w:cs="Times New Roman"/>
          <w:szCs w:val="24"/>
        </w:rPr>
        <w:t>“</w:t>
      </w:r>
      <w:r w:rsidRPr="000564C2">
        <w:rPr>
          <w:rFonts w:ascii="Times New Roman" w:hAnsi="Times New Roman" w:cs="Times New Roman"/>
          <w:szCs w:val="24"/>
        </w:rPr>
        <w:t>Sub-lethal Exposure to Neonicotinoids Impaired Honey Bees Winterization Before Proceeding to Colony Collapse Disorder</w:t>
      </w:r>
      <w:r w:rsidR="001570F7">
        <w:rPr>
          <w:rFonts w:ascii="Times New Roman" w:hAnsi="Times New Roman" w:cs="Times New Roman"/>
          <w:szCs w:val="24"/>
        </w:rPr>
        <w:t>.</w:t>
      </w:r>
      <w:r w:rsidRPr="000564C2">
        <w:rPr>
          <w:rFonts w:ascii="Times New Roman" w:hAnsi="Times New Roman" w:cs="Times New Roman"/>
          <w:szCs w:val="24"/>
        </w:rPr>
        <w:t xml:space="preserve">” </w:t>
      </w:r>
      <w:r w:rsidRPr="000564C2">
        <w:rPr>
          <w:rFonts w:ascii="Times New Roman" w:hAnsi="Times New Roman" w:cs="Times New Roman"/>
          <w:i/>
          <w:iCs/>
          <w:szCs w:val="24"/>
        </w:rPr>
        <w:t xml:space="preserve">Bulletin of Insectology </w:t>
      </w:r>
      <w:r w:rsidRPr="000564C2">
        <w:rPr>
          <w:rFonts w:ascii="Times New Roman" w:hAnsi="Times New Roman" w:cs="Times New Roman"/>
          <w:szCs w:val="24"/>
        </w:rPr>
        <w:t>67 (2014).</w:t>
      </w:r>
    </w:p>
    <w:p w14:paraId="6501DE29" w14:textId="649397A0" w:rsidR="000564C2" w:rsidRPr="000564C2" w:rsidRDefault="000564C2" w:rsidP="000564C2">
      <w:pPr>
        <w:pStyle w:val="FootnoteText"/>
        <w:spacing w:after="120" w:line="276" w:lineRule="auto"/>
        <w:ind w:firstLine="0"/>
        <w:jc w:val="left"/>
        <w:rPr>
          <w:sz w:val="24"/>
          <w:szCs w:val="24"/>
        </w:rPr>
      </w:pPr>
      <w:r w:rsidRPr="000564C2">
        <w:rPr>
          <w:sz w:val="24"/>
          <w:szCs w:val="24"/>
        </w:rPr>
        <w:t>Bøhn,</w:t>
      </w:r>
      <w:r w:rsidR="00B47163">
        <w:rPr>
          <w:sz w:val="24"/>
          <w:szCs w:val="24"/>
        </w:rPr>
        <w:t xml:space="preserve"> </w:t>
      </w:r>
      <w:r w:rsidR="00B47163" w:rsidRPr="000564C2">
        <w:rPr>
          <w:sz w:val="24"/>
          <w:szCs w:val="24"/>
        </w:rPr>
        <w:t>Thomas</w:t>
      </w:r>
      <w:r w:rsidR="00B47163">
        <w:rPr>
          <w:sz w:val="24"/>
          <w:szCs w:val="24"/>
        </w:rPr>
        <w:t>.</w:t>
      </w:r>
      <w:r w:rsidRPr="000564C2">
        <w:rPr>
          <w:sz w:val="24"/>
          <w:szCs w:val="24"/>
        </w:rPr>
        <w:t xml:space="preserve"> “Insufficient Risk Assessment of Herbicide-Tolerant Genetically Engineered Soybeans Intended for Import into the EU</w:t>
      </w:r>
      <w:r w:rsidR="00D0027C">
        <w:rPr>
          <w:sz w:val="24"/>
          <w:szCs w:val="24"/>
        </w:rPr>
        <w:t>.</w:t>
      </w:r>
      <w:r w:rsidRPr="000564C2">
        <w:rPr>
          <w:sz w:val="24"/>
          <w:szCs w:val="24"/>
        </w:rPr>
        <w:t xml:space="preserve">” </w:t>
      </w:r>
      <w:r w:rsidRPr="000564C2">
        <w:rPr>
          <w:i/>
          <w:iCs/>
          <w:sz w:val="24"/>
          <w:szCs w:val="24"/>
        </w:rPr>
        <w:t>Environmental Sciences Europe</w:t>
      </w:r>
      <w:r w:rsidRPr="000564C2">
        <w:rPr>
          <w:sz w:val="24"/>
          <w:szCs w:val="24"/>
        </w:rPr>
        <w:t xml:space="preserve"> 31 (2019).</w:t>
      </w:r>
    </w:p>
    <w:p w14:paraId="13B4ABEE" w14:textId="0AE3B741" w:rsidR="000564C2" w:rsidRPr="000564C2" w:rsidRDefault="000564C2" w:rsidP="000564C2">
      <w:pPr>
        <w:pStyle w:val="FootnoteText"/>
        <w:spacing w:after="120" w:line="276" w:lineRule="auto"/>
        <w:ind w:firstLine="0"/>
        <w:jc w:val="left"/>
        <w:rPr>
          <w:sz w:val="24"/>
          <w:szCs w:val="24"/>
        </w:rPr>
      </w:pPr>
      <w:r w:rsidRPr="000564C2">
        <w:rPr>
          <w:sz w:val="24"/>
          <w:szCs w:val="24"/>
        </w:rPr>
        <w:t>Fogg</w:t>
      </w:r>
      <w:r w:rsidR="002A01D7">
        <w:rPr>
          <w:sz w:val="24"/>
          <w:szCs w:val="24"/>
        </w:rPr>
        <w:t xml:space="preserve">, </w:t>
      </w:r>
      <w:r w:rsidR="002A01D7" w:rsidRPr="000564C2">
        <w:rPr>
          <w:sz w:val="24"/>
          <w:szCs w:val="24"/>
        </w:rPr>
        <w:t>Stewart</w:t>
      </w:r>
      <w:r w:rsidRPr="000564C2">
        <w:rPr>
          <w:sz w:val="24"/>
          <w:szCs w:val="24"/>
        </w:rPr>
        <w:t xml:space="preserve"> and Peter Fay</w:t>
      </w:r>
      <w:r w:rsidR="002A01D7">
        <w:rPr>
          <w:sz w:val="24"/>
          <w:szCs w:val="24"/>
        </w:rPr>
        <w:t>.</w:t>
      </w:r>
      <w:r w:rsidRPr="000564C2">
        <w:rPr>
          <w:sz w:val="24"/>
          <w:szCs w:val="24"/>
        </w:rPr>
        <w:t xml:space="preserve"> </w:t>
      </w:r>
      <w:r w:rsidRPr="000564C2">
        <w:rPr>
          <w:i/>
          <w:iCs/>
          <w:sz w:val="24"/>
          <w:szCs w:val="24"/>
        </w:rPr>
        <w:t>The Blue-Green Algae</w:t>
      </w:r>
      <w:r w:rsidR="00DE5A55">
        <w:rPr>
          <w:sz w:val="24"/>
          <w:szCs w:val="24"/>
        </w:rPr>
        <w:t xml:space="preserve">. </w:t>
      </w:r>
      <w:r w:rsidRPr="000564C2">
        <w:rPr>
          <w:sz w:val="24"/>
          <w:szCs w:val="24"/>
        </w:rPr>
        <w:t>London: Academic Press, 1973.</w:t>
      </w:r>
    </w:p>
    <w:p w14:paraId="1534858E" w14:textId="15F9D2F1" w:rsidR="000564C2" w:rsidRPr="000564C2" w:rsidRDefault="000564C2" w:rsidP="000564C2">
      <w:pPr>
        <w:pStyle w:val="FootnoteText"/>
        <w:spacing w:after="120" w:line="276" w:lineRule="auto"/>
        <w:ind w:firstLine="0"/>
        <w:jc w:val="left"/>
        <w:rPr>
          <w:i/>
          <w:iCs/>
          <w:sz w:val="24"/>
          <w:szCs w:val="24"/>
        </w:rPr>
      </w:pPr>
      <w:r w:rsidRPr="000564C2">
        <w:rPr>
          <w:sz w:val="24"/>
          <w:szCs w:val="24"/>
        </w:rPr>
        <w:lastRenderedPageBreak/>
        <w:t>Coleman-Jensen</w:t>
      </w:r>
      <w:r w:rsidR="00B568C6">
        <w:rPr>
          <w:sz w:val="24"/>
          <w:szCs w:val="24"/>
        </w:rPr>
        <w:t xml:space="preserve">, </w:t>
      </w:r>
      <w:r w:rsidR="00B568C6" w:rsidRPr="000564C2">
        <w:rPr>
          <w:sz w:val="24"/>
          <w:szCs w:val="24"/>
        </w:rPr>
        <w:t>Alisha</w:t>
      </w:r>
      <w:r w:rsidR="00B568C6">
        <w:rPr>
          <w:sz w:val="24"/>
          <w:szCs w:val="24"/>
        </w:rPr>
        <w:t>.</w:t>
      </w:r>
      <w:r w:rsidRPr="000564C2">
        <w:rPr>
          <w:sz w:val="24"/>
          <w:szCs w:val="24"/>
        </w:rPr>
        <w:t xml:space="preserve"> “Household Food Security in the United States</w:t>
      </w:r>
      <w:r w:rsidR="00B568C6">
        <w:rPr>
          <w:sz w:val="24"/>
          <w:szCs w:val="24"/>
        </w:rPr>
        <w:t>.</w:t>
      </w:r>
      <w:r w:rsidRPr="000564C2">
        <w:rPr>
          <w:sz w:val="24"/>
          <w:szCs w:val="24"/>
        </w:rPr>
        <w:t xml:space="preserve">” </w:t>
      </w:r>
      <w:r w:rsidRPr="000564C2">
        <w:rPr>
          <w:i/>
          <w:iCs/>
          <w:sz w:val="24"/>
          <w:szCs w:val="24"/>
        </w:rPr>
        <w:t xml:space="preserve">USDA Economic Research Report </w:t>
      </w:r>
      <w:r w:rsidRPr="000564C2">
        <w:rPr>
          <w:sz w:val="24"/>
          <w:szCs w:val="24"/>
        </w:rPr>
        <w:t xml:space="preserve">141 (2012). </w:t>
      </w:r>
    </w:p>
    <w:p w14:paraId="1AF465FD" w14:textId="248834B0" w:rsidR="000564C2" w:rsidRPr="000564C2" w:rsidRDefault="000564C2" w:rsidP="000564C2">
      <w:pPr>
        <w:pStyle w:val="FootnoteText"/>
        <w:spacing w:after="120" w:line="276" w:lineRule="auto"/>
        <w:ind w:firstLine="0"/>
        <w:jc w:val="left"/>
        <w:rPr>
          <w:i/>
          <w:iCs/>
          <w:sz w:val="24"/>
          <w:szCs w:val="24"/>
        </w:rPr>
      </w:pPr>
      <w:r w:rsidRPr="000564C2">
        <w:rPr>
          <w:sz w:val="24"/>
          <w:szCs w:val="24"/>
        </w:rPr>
        <w:t>Elton,</w:t>
      </w:r>
      <w:r w:rsidR="003F25C6">
        <w:rPr>
          <w:sz w:val="24"/>
          <w:szCs w:val="24"/>
        </w:rPr>
        <w:t xml:space="preserve"> </w:t>
      </w:r>
      <w:r w:rsidR="003F25C6" w:rsidRPr="000564C2">
        <w:rPr>
          <w:sz w:val="24"/>
          <w:szCs w:val="24"/>
        </w:rPr>
        <w:t>Sarah</w:t>
      </w:r>
      <w:r w:rsidR="003F25C6">
        <w:rPr>
          <w:sz w:val="24"/>
          <w:szCs w:val="24"/>
        </w:rPr>
        <w:t>.</w:t>
      </w:r>
      <w:r w:rsidRPr="000564C2">
        <w:rPr>
          <w:sz w:val="24"/>
          <w:szCs w:val="24"/>
        </w:rPr>
        <w:t xml:space="preserve"> “Environments, Adaptation, and Evolutionary Medicine: Should We Be Eating a Stone Age Diet?</w:t>
      </w:r>
      <w:r w:rsidR="003F25C6">
        <w:rPr>
          <w:sz w:val="24"/>
          <w:szCs w:val="24"/>
        </w:rPr>
        <w:t>.</w:t>
      </w:r>
      <w:r w:rsidRPr="000564C2">
        <w:rPr>
          <w:sz w:val="24"/>
          <w:szCs w:val="24"/>
        </w:rPr>
        <w:t xml:space="preserve">” In </w:t>
      </w:r>
      <w:r w:rsidRPr="000564C2">
        <w:rPr>
          <w:i/>
          <w:iCs/>
          <w:sz w:val="24"/>
          <w:szCs w:val="24"/>
        </w:rPr>
        <w:t>Medicine and Evolution: Current Applications, Future Prospects</w:t>
      </w:r>
      <w:r w:rsidR="003F25C6">
        <w:rPr>
          <w:i/>
          <w:iCs/>
          <w:sz w:val="24"/>
          <w:szCs w:val="24"/>
        </w:rPr>
        <w:t>.</w:t>
      </w:r>
      <w:r w:rsidRPr="000564C2">
        <w:rPr>
          <w:i/>
          <w:iCs/>
          <w:sz w:val="24"/>
          <w:szCs w:val="24"/>
        </w:rPr>
        <w:t xml:space="preserve"> </w:t>
      </w:r>
      <w:r w:rsidR="003F25C6">
        <w:rPr>
          <w:sz w:val="24"/>
          <w:szCs w:val="24"/>
        </w:rPr>
        <w:t>Editors</w:t>
      </w:r>
      <w:r w:rsidRPr="000564C2">
        <w:rPr>
          <w:sz w:val="24"/>
          <w:szCs w:val="24"/>
        </w:rPr>
        <w:t xml:space="preserve"> Sarah Elton and Paul O’Higgins</w:t>
      </w:r>
      <w:r w:rsidR="003F25C6">
        <w:rPr>
          <w:sz w:val="24"/>
          <w:szCs w:val="24"/>
        </w:rPr>
        <w:t xml:space="preserve">. </w:t>
      </w:r>
      <w:r w:rsidRPr="000564C2">
        <w:rPr>
          <w:sz w:val="24"/>
          <w:szCs w:val="24"/>
        </w:rPr>
        <w:t>Boca Raton: CRC Press, 2008.</w:t>
      </w:r>
    </w:p>
    <w:p w14:paraId="2CF966BD" w14:textId="67423648" w:rsidR="000564C2" w:rsidRPr="000564C2" w:rsidRDefault="000564C2" w:rsidP="000564C2">
      <w:pPr>
        <w:autoSpaceDE w:val="0"/>
        <w:autoSpaceDN w:val="0"/>
        <w:adjustRightInd w:val="0"/>
        <w:spacing w:line="276" w:lineRule="auto"/>
        <w:rPr>
          <w:rFonts w:ascii="Times New Roman" w:hAnsi="Times New Roman" w:cs="Times New Roman"/>
          <w:szCs w:val="24"/>
        </w:rPr>
      </w:pPr>
      <w:r w:rsidRPr="000564C2">
        <w:rPr>
          <w:rFonts w:ascii="Times New Roman" w:hAnsi="Times New Roman" w:cs="Times New Roman"/>
          <w:szCs w:val="24"/>
        </w:rPr>
        <w:t>Guthman,</w:t>
      </w:r>
      <w:r w:rsidR="00711750">
        <w:rPr>
          <w:rFonts w:ascii="Times New Roman" w:hAnsi="Times New Roman" w:cs="Times New Roman"/>
          <w:szCs w:val="24"/>
        </w:rPr>
        <w:t xml:space="preserve"> </w:t>
      </w:r>
      <w:r w:rsidR="00711750" w:rsidRPr="000564C2">
        <w:rPr>
          <w:rFonts w:ascii="Times New Roman" w:hAnsi="Times New Roman" w:cs="Times New Roman"/>
          <w:szCs w:val="24"/>
        </w:rPr>
        <w:t>Julie</w:t>
      </w:r>
      <w:r w:rsidR="00711750">
        <w:rPr>
          <w:rFonts w:ascii="Times New Roman" w:hAnsi="Times New Roman" w:cs="Times New Roman"/>
          <w:szCs w:val="24"/>
        </w:rPr>
        <w:t>.</w:t>
      </w:r>
      <w:r w:rsidRPr="000564C2">
        <w:rPr>
          <w:rFonts w:ascii="Times New Roman" w:hAnsi="Times New Roman" w:cs="Times New Roman"/>
          <w:szCs w:val="24"/>
        </w:rPr>
        <w:t xml:space="preserve"> </w:t>
      </w:r>
      <w:r w:rsidRPr="000564C2">
        <w:rPr>
          <w:rFonts w:ascii="Times New Roman" w:hAnsi="Times New Roman" w:cs="Times New Roman"/>
          <w:i/>
          <w:iCs/>
          <w:szCs w:val="24"/>
        </w:rPr>
        <w:t>Weighing In: Obesity</w:t>
      </w:r>
      <w:r w:rsidRPr="000564C2">
        <w:rPr>
          <w:rFonts w:ascii="Times New Roman" w:hAnsi="Times New Roman" w:cs="Times New Roman"/>
          <w:szCs w:val="24"/>
        </w:rPr>
        <w:t xml:space="preserve">, </w:t>
      </w:r>
      <w:r w:rsidRPr="000564C2">
        <w:rPr>
          <w:rFonts w:ascii="Times New Roman" w:hAnsi="Times New Roman" w:cs="Times New Roman"/>
          <w:i/>
          <w:iCs/>
          <w:szCs w:val="24"/>
        </w:rPr>
        <w:t>Food Justice</w:t>
      </w:r>
      <w:r w:rsidRPr="000564C2">
        <w:rPr>
          <w:rFonts w:ascii="Times New Roman" w:hAnsi="Times New Roman" w:cs="Times New Roman"/>
          <w:szCs w:val="24"/>
        </w:rPr>
        <w:t xml:space="preserve">, </w:t>
      </w:r>
      <w:r w:rsidRPr="000564C2">
        <w:rPr>
          <w:rFonts w:ascii="Times New Roman" w:hAnsi="Times New Roman" w:cs="Times New Roman"/>
          <w:i/>
          <w:iCs/>
          <w:szCs w:val="24"/>
        </w:rPr>
        <w:t>and the Limits of Capitalism</w:t>
      </w:r>
      <w:r w:rsidR="00711750">
        <w:rPr>
          <w:rFonts w:ascii="Times New Roman" w:hAnsi="Times New Roman" w:cs="Times New Roman"/>
          <w:i/>
          <w:iCs/>
          <w:szCs w:val="24"/>
        </w:rPr>
        <w:t xml:space="preserve">. </w:t>
      </w:r>
      <w:r w:rsidRPr="000564C2">
        <w:rPr>
          <w:rFonts w:ascii="Times New Roman" w:hAnsi="Times New Roman" w:cs="Times New Roman"/>
          <w:szCs w:val="24"/>
        </w:rPr>
        <w:t>Berkeley: University of California Press, 2011.</w:t>
      </w:r>
    </w:p>
    <w:p w14:paraId="76E7339A" w14:textId="154D2476" w:rsidR="000564C2" w:rsidRPr="000564C2" w:rsidRDefault="000564C2" w:rsidP="000564C2">
      <w:pPr>
        <w:autoSpaceDE w:val="0"/>
        <w:autoSpaceDN w:val="0"/>
        <w:adjustRightInd w:val="0"/>
        <w:spacing w:line="276" w:lineRule="auto"/>
        <w:rPr>
          <w:rFonts w:ascii="Times New Roman" w:hAnsi="Times New Roman" w:cs="Times New Roman"/>
          <w:i/>
          <w:iCs/>
          <w:szCs w:val="24"/>
        </w:rPr>
      </w:pPr>
      <w:r w:rsidRPr="000564C2">
        <w:rPr>
          <w:rFonts w:ascii="Times New Roman" w:hAnsi="Times New Roman" w:cs="Times New Roman"/>
          <w:szCs w:val="24"/>
        </w:rPr>
        <w:t>Bellisari,</w:t>
      </w:r>
      <w:r w:rsidR="00625A12">
        <w:rPr>
          <w:rFonts w:ascii="Times New Roman" w:hAnsi="Times New Roman" w:cs="Times New Roman"/>
          <w:szCs w:val="24"/>
        </w:rPr>
        <w:t xml:space="preserve"> </w:t>
      </w:r>
      <w:r w:rsidR="00625A12" w:rsidRPr="000564C2">
        <w:rPr>
          <w:rFonts w:ascii="Times New Roman" w:hAnsi="Times New Roman" w:cs="Times New Roman"/>
          <w:szCs w:val="24"/>
        </w:rPr>
        <w:t>Anna</w:t>
      </w:r>
      <w:r w:rsidR="00625A12">
        <w:rPr>
          <w:rFonts w:ascii="Times New Roman" w:hAnsi="Times New Roman" w:cs="Times New Roman"/>
          <w:szCs w:val="24"/>
        </w:rPr>
        <w:t>.</w:t>
      </w:r>
      <w:r w:rsidRPr="000564C2">
        <w:rPr>
          <w:rFonts w:ascii="Times New Roman" w:hAnsi="Times New Roman" w:cs="Times New Roman"/>
          <w:szCs w:val="24"/>
        </w:rPr>
        <w:t xml:space="preserve"> </w:t>
      </w:r>
      <w:r w:rsidRPr="000564C2">
        <w:rPr>
          <w:rFonts w:ascii="Times New Roman" w:hAnsi="Times New Roman" w:cs="Times New Roman"/>
          <w:i/>
          <w:iCs/>
          <w:szCs w:val="24"/>
        </w:rPr>
        <w:t>The Obesity Epidemic in North America: Connecting Biology and Culture</w:t>
      </w:r>
      <w:r w:rsidR="00625A12">
        <w:rPr>
          <w:rFonts w:ascii="Times New Roman" w:hAnsi="Times New Roman" w:cs="Times New Roman"/>
          <w:i/>
          <w:iCs/>
          <w:szCs w:val="24"/>
        </w:rPr>
        <w:t xml:space="preserve">. </w:t>
      </w:r>
      <w:r w:rsidRPr="000564C2">
        <w:rPr>
          <w:rFonts w:ascii="Times New Roman" w:hAnsi="Times New Roman" w:cs="Times New Roman"/>
          <w:szCs w:val="24"/>
        </w:rPr>
        <w:t>Long Grove: Waveland Press, 2013.</w:t>
      </w:r>
    </w:p>
    <w:p w14:paraId="1EB39E12" w14:textId="6C845AF4" w:rsidR="000564C2" w:rsidRPr="000564C2" w:rsidRDefault="000564C2" w:rsidP="000564C2">
      <w:pPr>
        <w:spacing w:line="276" w:lineRule="auto"/>
        <w:rPr>
          <w:rFonts w:ascii="Times New Roman" w:hAnsi="Times New Roman" w:cs="Times New Roman"/>
          <w:szCs w:val="24"/>
        </w:rPr>
      </w:pPr>
      <w:r w:rsidRPr="000564C2">
        <w:rPr>
          <w:rFonts w:ascii="Times New Roman" w:hAnsi="Times New Roman" w:cs="Times New Roman"/>
          <w:szCs w:val="24"/>
        </w:rPr>
        <w:t>Wells,</w:t>
      </w:r>
      <w:r w:rsidR="00972E8D">
        <w:rPr>
          <w:rFonts w:ascii="Times New Roman" w:hAnsi="Times New Roman" w:cs="Times New Roman"/>
          <w:szCs w:val="24"/>
        </w:rPr>
        <w:t xml:space="preserve"> </w:t>
      </w:r>
      <w:r w:rsidR="00972E8D" w:rsidRPr="000564C2">
        <w:rPr>
          <w:rFonts w:ascii="Times New Roman" w:hAnsi="Times New Roman" w:cs="Times New Roman"/>
          <w:szCs w:val="24"/>
        </w:rPr>
        <w:t>Jonathan</w:t>
      </w:r>
      <w:r w:rsidR="00972E8D">
        <w:rPr>
          <w:rFonts w:ascii="Times New Roman" w:hAnsi="Times New Roman" w:cs="Times New Roman"/>
          <w:szCs w:val="24"/>
        </w:rPr>
        <w:t>.</w:t>
      </w:r>
      <w:r w:rsidRPr="000564C2">
        <w:rPr>
          <w:rFonts w:ascii="Times New Roman" w:hAnsi="Times New Roman" w:cs="Times New Roman"/>
          <w:szCs w:val="24"/>
        </w:rPr>
        <w:t xml:space="preserve"> The Evolutionary Biology of Human Body Fatness: Thrift and Control</w:t>
      </w:r>
      <w:r w:rsidR="00972E8D">
        <w:rPr>
          <w:rFonts w:ascii="Times New Roman" w:hAnsi="Times New Roman" w:cs="Times New Roman"/>
          <w:szCs w:val="24"/>
        </w:rPr>
        <w:t xml:space="preserve">. </w:t>
      </w:r>
      <w:r w:rsidRPr="000564C2">
        <w:rPr>
          <w:rFonts w:ascii="Times New Roman" w:hAnsi="Times New Roman" w:cs="Times New Roman"/>
          <w:szCs w:val="24"/>
        </w:rPr>
        <w:t>Cambridge: Cambridge University Press, 2010.</w:t>
      </w:r>
    </w:p>
    <w:p w14:paraId="6BC3ED95" w14:textId="0C65128E" w:rsidR="000564C2" w:rsidRPr="000564C2" w:rsidRDefault="000564C2" w:rsidP="000564C2">
      <w:pPr>
        <w:pStyle w:val="FootnoteText"/>
        <w:spacing w:after="120" w:line="276" w:lineRule="auto"/>
        <w:ind w:firstLine="0"/>
        <w:jc w:val="left"/>
        <w:rPr>
          <w:sz w:val="24"/>
          <w:szCs w:val="24"/>
        </w:rPr>
      </w:pPr>
      <w:r w:rsidRPr="000564C2">
        <w:rPr>
          <w:sz w:val="24"/>
          <w:szCs w:val="24"/>
        </w:rPr>
        <w:t>Williams,</w:t>
      </w:r>
      <w:r w:rsidR="00877CD2">
        <w:rPr>
          <w:sz w:val="24"/>
          <w:szCs w:val="24"/>
        </w:rPr>
        <w:t xml:space="preserve"> </w:t>
      </w:r>
      <w:r w:rsidR="00877CD2" w:rsidRPr="000564C2">
        <w:rPr>
          <w:sz w:val="24"/>
          <w:szCs w:val="24"/>
        </w:rPr>
        <w:t>Robert</w:t>
      </w:r>
      <w:r w:rsidR="00877CD2">
        <w:rPr>
          <w:sz w:val="24"/>
          <w:szCs w:val="24"/>
        </w:rPr>
        <w:t>.</w:t>
      </w:r>
      <w:r w:rsidRPr="000564C2">
        <w:rPr>
          <w:sz w:val="24"/>
          <w:szCs w:val="24"/>
        </w:rPr>
        <w:t xml:space="preserve"> </w:t>
      </w:r>
      <w:r w:rsidRPr="000564C2">
        <w:rPr>
          <w:i/>
          <w:iCs/>
          <w:sz w:val="24"/>
          <w:szCs w:val="24"/>
        </w:rPr>
        <w:t>Export Agriculture and the Crisis in Central America</w:t>
      </w:r>
      <w:r w:rsidR="00877CD2">
        <w:rPr>
          <w:sz w:val="24"/>
          <w:szCs w:val="24"/>
        </w:rPr>
        <w:t xml:space="preserve">. </w:t>
      </w:r>
      <w:r w:rsidRPr="000564C2">
        <w:rPr>
          <w:sz w:val="24"/>
          <w:szCs w:val="24"/>
        </w:rPr>
        <w:t>Chapel Hill: University of North Carolina Press, 1986.</w:t>
      </w:r>
    </w:p>
    <w:p w14:paraId="567E4D30" w14:textId="63B85E21" w:rsidR="000564C2" w:rsidRPr="000564C2" w:rsidRDefault="000564C2" w:rsidP="000564C2">
      <w:pPr>
        <w:autoSpaceDE w:val="0"/>
        <w:autoSpaceDN w:val="0"/>
        <w:adjustRightInd w:val="0"/>
        <w:spacing w:line="276" w:lineRule="auto"/>
        <w:rPr>
          <w:rFonts w:ascii="Times New Roman" w:hAnsi="Times New Roman" w:cs="Times New Roman"/>
          <w:szCs w:val="24"/>
        </w:rPr>
      </w:pPr>
      <w:r w:rsidRPr="000564C2">
        <w:rPr>
          <w:rFonts w:ascii="Times New Roman" w:hAnsi="Times New Roman" w:cs="Times New Roman"/>
          <w:szCs w:val="24"/>
        </w:rPr>
        <w:t>Himmelgreen,</w:t>
      </w:r>
      <w:r w:rsidR="00DF7C81">
        <w:rPr>
          <w:rFonts w:ascii="Times New Roman" w:hAnsi="Times New Roman" w:cs="Times New Roman"/>
          <w:szCs w:val="24"/>
        </w:rPr>
        <w:t xml:space="preserve"> </w:t>
      </w:r>
      <w:r w:rsidR="00DF7C81" w:rsidRPr="000564C2">
        <w:rPr>
          <w:rFonts w:ascii="Times New Roman" w:hAnsi="Times New Roman" w:cs="Times New Roman"/>
          <w:szCs w:val="24"/>
        </w:rPr>
        <w:t>David</w:t>
      </w:r>
      <w:r w:rsidR="00DF7C81">
        <w:rPr>
          <w:rFonts w:ascii="Times New Roman" w:hAnsi="Times New Roman" w:cs="Times New Roman"/>
          <w:szCs w:val="24"/>
        </w:rPr>
        <w:t>.</w:t>
      </w:r>
      <w:r w:rsidRPr="000564C2">
        <w:rPr>
          <w:rFonts w:ascii="Times New Roman" w:hAnsi="Times New Roman" w:cs="Times New Roman"/>
          <w:szCs w:val="24"/>
        </w:rPr>
        <w:t xml:space="preserve"> “Special Issue: The Global Food Crisis: New Insights into an Age-old Problem,” </w:t>
      </w:r>
      <w:r w:rsidRPr="000564C2">
        <w:rPr>
          <w:rFonts w:ascii="Times New Roman" w:hAnsi="Times New Roman" w:cs="Times New Roman"/>
          <w:i/>
          <w:iCs/>
          <w:szCs w:val="24"/>
        </w:rPr>
        <w:t xml:space="preserve">NAPA Bulletin </w:t>
      </w:r>
      <w:r w:rsidRPr="000564C2">
        <w:rPr>
          <w:rFonts w:ascii="Times New Roman" w:hAnsi="Times New Roman" w:cs="Times New Roman"/>
          <w:szCs w:val="24"/>
        </w:rPr>
        <w:t>32 (2009).</w:t>
      </w:r>
    </w:p>
    <w:p w14:paraId="46275789" w14:textId="714C46D7" w:rsidR="00FE6E10" w:rsidRPr="00FE6E10" w:rsidRDefault="00FE6E10" w:rsidP="00FE6E10">
      <w:pPr>
        <w:pStyle w:val="Title"/>
      </w:pPr>
    </w:p>
    <w:sectPr w:rsidR="00FE6E10" w:rsidRPr="00FE6E10" w:rsidSect="008A5961">
      <w:headerReference w:type="first" r:id="rId11"/>
      <w:footerReference w:type="first" r:id="rId12"/>
      <w:pgSz w:w="11906" w:h="16838"/>
      <w:pgMar w:top="1440" w:right="1080" w:bottom="1440" w:left="108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CB6166" w14:textId="77777777" w:rsidR="009D0E4B" w:rsidRDefault="009D0E4B" w:rsidP="00844EED">
      <w:pPr>
        <w:spacing w:after="0" w:line="240" w:lineRule="auto"/>
      </w:pPr>
      <w:r>
        <w:separator/>
      </w:r>
    </w:p>
  </w:endnote>
  <w:endnote w:type="continuationSeparator" w:id="0">
    <w:p w14:paraId="3EA6F799" w14:textId="77777777" w:rsidR="009D0E4B" w:rsidRDefault="009D0E4B" w:rsidP="00844E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MinionPro-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3344470"/>
      <w:docPartObj>
        <w:docPartGallery w:val="Page Numbers (Bottom of Page)"/>
        <w:docPartUnique/>
      </w:docPartObj>
    </w:sdtPr>
    <w:sdtEndPr>
      <w:rPr>
        <w:noProof/>
      </w:rPr>
    </w:sdtEndPr>
    <w:sdtContent>
      <w:p w14:paraId="10B60419" w14:textId="77777777" w:rsidR="00F51D94" w:rsidRDefault="00F51D9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C7E715" w14:textId="77777777" w:rsidR="00F51D94" w:rsidRDefault="00F51D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6ACE90" w14:textId="77777777" w:rsidR="009D0E4B" w:rsidRDefault="009D0E4B" w:rsidP="00844EED">
      <w:pPr>
        <w:spacing w:after="0" w:line="240" w:lineRule="auto"/>
      </w:pPr>
      <w:r>
        <w:separator/>
      </w:r>
    </w:p>
  </w:footnote>
  <w:footnote w:type="continuationSeparator" w:id="0">
    <w:p w14:paraId="46EC4B1B" w14:textId="77777777" w:rsidR="009D0E4B" w:rsidRDefault="009D0E4B" w:rsidP="00844EED">
      <w:pPr>
        <w:spacing w:after="0" w:line="240" w:lineRule="auto"/>
      </w:pPr>
      <w:r>
        <w:continuationSeparator/>
      </w:r>
    </w:p>
  </w:footnote>
  <w:footnote w:id="1">
    <w:p w14:paraId="32475AC4" w14:textId="2F0B0E67" w:rsidR="00183629" w:rsidRDefault="00183629" w:rsidP="00183629">
      <w:pPr>
        <w:pStyle w:val="FootnoteText"/>
        <w:ind w:firstLine="0"/>
        <w:jc w:val="left"/>
      </w:pPr>
      <w:r>
        <w:rPr>
          <w:rStyle w:val="FootnoteReference"/>
        </w:rPr>
        <w:footnoteRef/>
      </w:r>
      <w:r w:rsidR="002C74A3">
        <w:t xml:space="preserve"> </w:t>
      </w:r>
      <w:r>
        <w:t>James</w:t>
      </w:r>
      <w:r w:rsidR="002C74A3">
        <w:t xml:space="preserve"> Verdin</w:t>
      </w:r>
      <w:r>
        <w:t>, Chris Funk, Gabriel Senay, and Richard Choularton</w:t>
      </w:r>
      <w:r w:rsidR="002C74A3">
        <w:t xml:space="preserve">, </w:t>
      </w:r>
      <w:r>
        <w:t>“Climate Science and Famine Early Warning</w:t>
      </w:r>
      <w:r w:rsidR="002C74A3">
        <w:t>,</w:t>
      </w:r>
      <w:r>
        <w:t xml:space="preserve">” </w:t>
      </w:r>
      <w:r>
        <w:rPr>
          <w:i/>
          <w:iCs/>
        </w:rPr>
        <w:t>Philosophical Transactions: Biological Sciences</w:t>
      </w:r>
      <w:r>
        <w:t xml:space="preserve"> 360</w:t>
      </w:r>
      <w:r w:rsidR="002C74A3">
        <w:t xml:space="preserve"> </w:t>
      </w:r>
      <w:r>
        <w:t xml:space="preserve">(2005): </w:t>
      </w:r>
      <w:r w:rsidRPr="002C74A3">
        <w:t>2155</w:t>
      </w:r>
      <w:r>
        <w:t>.</w:t>
      </w:r>
    </w:p>
  </w:footnote>
  <w:footnote w:id="2">
    <w:p w14:paraId="7671D78F" w14:textId="77777777" w:rsidR="00183629" w:rsidRDefault="00183629" w:rsidP="00183629">
      <w:pPr>
        <w:pStyle w:val="FootnoteText"/>
        <w:ind w:firstLine="0"/>
        <w:jc w:val="left"/>
      </w:pPr>
      <w:r>
        <w:rPr>
          <w:rStyle w:val="FootnoteReference"/>
        </w:rPr>
        <w:footnoteRef/>
      </w:r>
      <w:r>
        <w:t xml:space="preserve"> Megh Goyal and Eric Harmsen, </w:t>
      </w:r>
      <w:r>
        <w:rPr>
          <w:i/>
          <w:iCs/>
        </w:rPr>
        <w:t>Evapotranspiration: Principles and Applications for Water Management</w:t>
      </w:r>
      <w:r>
        <w:t xml:space="preserve"> (Oakville: Apple Academic Press, 2014), 10.</w:t>
      </w:r>
    </w:p>
  </w:footnote>
  <w:footnote w:id="3">
    <w:p w14:paraId="0867784C" w14:textId="77777777" w:rsidR="00183629" w:rsidRDefault="00183629" w:rsidP="00183629">
      <w:pPr>
        <w:pStyle w:val="FootnoteText"/>
        <w:ind w:firstLine="0"/>
        <w:jc w:val="left"/>
      </w:pPr>
      <w:r>
        <w:rPr>
          <w:rStyle w:val="FootnoteReference"/>
        </w:rPr>
        <w:footnoteRef/>
      </w:r>
      <w:r>
        <w:t xml:space="preserve"> Ibid, 183.</w:t>
      </w:r>
    </w:p>
  </w:footnote>
  <w:footnote w:id="4">
    <w:p w14:paraId="047EAC18" w14:textId="77777777" w:rsidR="00183629" w:rsidRDefault="00183629" w:rsidP="00183629">
      <w:pPr>
        <w:pStyle w:val="FootnoteText"/>
        <w:ind w:firstLine="0"/>
        <w:jc w:val="left"/>
      </w:pPr>
      <w:r>
        <w:rPr>
          <w:rStyle w:val="FootnoteReference"/>
        </w:rPr>
        <w:footnoteRef/>
      </w:r>
      <w:r>
        <w:t xml:space="preserve"> Michael Carolan, </w:t>
      </w:r>
      <w:r>
        <w:rPr>
          <w:i/>
          <w:iCs/>
        </w:rPr>
        <w:t xml:space="preserve">The Sociology of Food and Agriculture </w:t>
      </w:r>
      <w:r>
        <w:t>(Hoboken: Taylor &amp; Francis, 2012), 166.</w:t>
      </w:r>
    </w:p>
  </w:footnote>
  <w:footnote w:id="5">
    <w:p w14:paraId="0A9CB5D7" w14:textId="7923670A" w:rsidR="00183629" w:rsidRDefault="00183629" w:rsidP="00183629">
      <w:pPr>
        <w:pStyle w:val="FootnoteText"/>
        <w:ind w:firstLine="0"/>
        <w:jc w:val="left"/>
      </w:pPr>
      <w:r>
        <w:rPr>
          <w:rStyle w:val="FootnoteReference"/>
        </w:rPr>
        <w:footnoteRef/>
      </w:r>
      <w:r>
        <w:t xml:space="preserve"> </w:t>
      </w:r>
      <w:r w:rsidR="002C74A3">
        <w:t xml:space="preserve">Yen-Ting </w:t>
      </w:r>
      <w:r>
        <w:t>Hwang, Dargan M. W Frierson, and Sarah M Kang</w:t>
      </w:r>
      <w:r w:rsidR="002C74A3">
        <w:t>,</w:t>
      </w:r>
      <w:r>
        <w:t xml:space="preserve"> “Anthropogenic Sulfate Aerosol and the Southward Shift of Tropical Precipitation in the Late 20th Century</w:t>
      </w:r>
      <w:r w:rsidR="002C74A3">
        <w:t>,</w:t>
      </w:r>
      <w:r>
        <w:t xml:space="preserve">” </w:t>
      </w:r>
      <w:r>
        <w:rPr>
          <w:i/>
          <w:iCs/>
        </w:rPr>
        <w:t>Geophysical Research Letters</w:t>
      </w:r>
      <w:r>
        <w:t xml:space="preserve"> 40</w:t>
      </w:r>
      <w:r w:rsidR="002C74A3">
        <w:t xml:space="preserve"> </w:t>
      </w:r>
      <w:r>
        <w:t xml:space="preserve">(2013): </w:t>
      </w:r>
      <w:r w:rsidRPr="002C74A3">
        <w:t>2845</w:t>
      </w:r>
      <w:r>
        <w:t>.</w:t>
      </w:r>
    </w:p>
  </w:footnote>
  <w:footnote w:id="6">
    <w:p w14:paraId="38F8B786" w14:textId="77777777" w:rsidR="00183629" w:rsidRDefault="00183629" w:rsidP="00183629">
      <w:pPr>
        <w:pStyle w:val="FootnoteText"/>
        <w:ind w:firstLine="0"/>
        <w:jc w:val="left"/>
      </w:pPr>
      <w:r>
        <w:rPr>
          <w:rStyle w:val="FootnoteReference"/>
        </w:rPr>
        <w:footnoteRef/>
      </w:r>
      <w:r>
        <w:t xml:space="preserve"> Yen-Ting Hwang et al., “Anthropogenic Sulfate Aerosol and the Southward Shift of Tropical Precipitation in the Late 20th Century,” </w:t>
      </w:r>
      <w:r w:rsidRPr="00A9030E">
        <w:rPr>
          <w:b/>
          <w:bCs/>
        </w:rPr>
        <w:t>284</w:t>
      </w:r>
      <w:r>
        <w:rPr>
          <w:b/>
          <w:bCs/>
        </w:rPr>
        <w:t>9</w:t>
      </w:r>
      <w:r>
        <w:t>.</w:t>
      </w:r>
    </w:p>
  </w:footnote>
  <w:footnote w:id="7">
    <w:p w14:paraId="38A54EEC" w14:textId="77777777" w:rsidR="00183629" w:rsidRDefault="00183629" w:rsidP="00183629">
      <w:pPr>
        <w:pStyle w:val="FootnoteText"/>
        <w:ind w:firstLine="0"/>
        <w:jc w:val="left"/>
      </w:pPr>
      <w:r>
        <w:rPr>
          <w:rStyle w:val="FootnoteReference"/>
        </w:rPr>
        <w:footnoteRef/>
      </w:r>
      <w:r>
        <w:t xml:space="preserve"> Paul Crutzen, “Geology of Mankind,” </w:t>
      </w:r>
      <w:r>
        <w:rPr>
          <w:i/>
          <w:iCs/>
        </w:rPr>
        <w:t>Nature</w:t>
      </w:r>
      <w:r>
        <w:t xml:space="preserve"> 415 (2002): 23.</w:t>
      </w:r>
    </w:p>
  </w:footnote>
  <w:footnote w:id="8">
    <w:p w14:paraId="38D172E6" w14:textId="77777777" w:rsidR="00183629" w:rsidRDefault="00183629" w:rsidP="00183629">
      <w:pPr>
        <w:pStyle w:val="FootnoteText"/>
        <w:ind w:firstLine="0"/>
      </w:pPr>
      <w:r>
        <w:rPr>
          <w:rStyle w:val="FootnoteReference"/>
        </w:rPr>
        <w:footnoteRef/>
      </w:r>
      <w:r>
        <w:t xml:space="preserve"> Nicolas Valcik, </w:t>
      </w:r>
      <w:r>
        <w:rPr>
          <w:i/>
          <w:iCs/>
        </w:rPr>
        <w:t>Case Studies in Disaster Response and Emergency Management</w:t>
      </w:r>
      <w:r>
        <w:t xml:space="preserve"> (Boca Raton: CRC Press, 2013), 59.</w:t>
      </w:r>
    </w:p>
  </w:footnote>
  <w:footnote w:id="9">
    <w:p w14:paraId="5631C01D" w14:textId="77777777" w:rsidR="00183629" w:rsidRDefault="00183629" w:rsidP="00183629">
      <w:pPr>
        <w:pStyle w:val="FootnoteText"/>
        <w:ind w:firstLine="0"/>
      </w:pPr>
      <w:r>
        <w:rPr>
          <w:rStyle w:val="FootnoteReference"/>
        </w:rPr>
        <w:footnoteRef/>
      </w:r>
      <w:r>
        <w:t xml:space="preserve"> Andreas Malm and Alf Hornborg, “The Geology of Mankind? A Critique of the Anthropocene Narrative,” </w:t>
      </w:r>
      <w:r>
        <w:rPr>
          <w:i/>
          <w:iCs/>
        </w:rPr>
        <w:t>The Anthropocene Review</w:t>
      </w:r>
      <w:r>
        <w:t xml:space="preserve"> 1 (2014): 66. </w:t>
      </w:r>
    </w:p>
  </w:footnote>
  <w:footnote w:id="10">
    <w:p w14:paraId="4DA3FB37" w14:textId="77777777" w:rsidR="00183629" w:rsidRDefault="00183629" w:rsidP="00183629">
      <w:pPr>
        <w:pStyle w:val="FootnoteText"/>
        <w:ind w:firstLine="0"/>
      </w:pPr>
      <w:r>
        <w:rPr>
          <w:rStyle w:val="FootnoteReference"/>
        </w:rPr>
        <w:footnoteRef/>
      </w:r>
      <w:r>
        <w:t xml:space="preserve"> Valcik, </w:t>
      </w:r>
      <w:r>
        <w:rPr>
          <w:i/>
          <w:iCs/>
        </w:rPr>
        <w:t>Case Studies in Disaster Response and Emergency Management</w:t>
      </w:r>
      <w:r>
        <w:t>, 60.</w:t>
      </w:r>
    </w:p>
  </w:footnote>
  <w:footnote w:id="11">
    <w:p w14:paraId="26E94F4A" w14:textId="77777777" w:rsidR="00183629" w:rsidRDefault="00183629" w:rsidP="00183629">
      <w:pPr>
        <w:pStyle w:val="FootnoteText"/>
        <w:ind w:firstLine="0"/>
        <w:jc w:val="left"/>
      </w:pPr>
      <w:r>
        <w:rPr>
          <w:rStyle w:val="FootnoteReference"/>
        </w:rPr>
        <w:footnoteRef/>
      </w:r>
      <w:r>
        <w:t xml:space="preserve"> Stefania Martignon et al., “Geochemical Characterization of Fluoride in Water, Table Salt, Active Sediment, Rock and Soil Samples, and Its Possible Relationship with the Prevalence of Enamel Fluorosis in Children in Four Municipalities of the Department of Huila (Colombia),” </w:t>
      </w:r>
      <w:r>
        <w:rPr>
          <w:i/>
          <w:iCs/>
        </w:rPr>
        <w:t>Environmental Monitoring and Assessment</w:t>
      </w:r>
      <w:r>
        <w:t xml:space="preserve"> 189 (2017): 264.</w:t>
      </w:r>
    </w:p>
  </w:footnote>
  <w:footnote w:id="12">
    <w:p w14:paraId="5F938958" w14:textId="77777777" w:rsidR="00183629" w:rsidRDefault="00183629" w:rsidP="00183629">
      <w:pPr>
        <w:pStyle w:val="FootnoteText"/>
        <w:ind w:firstLine="0"/>
        <w:jc w:val="left"/>
      </w:pPr>
      <w:r>
        <w:rPr>
          <w:rStyle w:val="FootnoteReference"/>
        </w:rPr>
        <w:footnoteRef/>
      </w:r>
      <w:r>
        <w:t xml:space="preserve"> Ibid, 264.</w:t>
      </w:r>
    </w:p>
  </w:footnote>
  <w:footnote w:id="13">
    <w:p w14:paraId="3A08EF67" w14:textId="77777777" w:rsidR="00183629" w:rsidRDefault="00183629" w:rsidP="00183629">
      <w:pPr>
        <w:pStyle w:val="FootnoteText"/>
        <w:ind w:firstLine="0"/>
        <w:jc w:val="left"/>
      </w:pPr>
      <w:r>
        <w:rPr>
          <w:rStyle w:val="FootnoteReference"/>
        </w:rPr>
        <w:footnoteRef/>
      </w:r>
      <w:r>
        <w:t xml:space="preserve"> Yuyu Chen, “Evidence on the Impact of Sustained Exposure to Air Pollution on Life Expectancy from China's Huai River Policy,” </w:t>
      </w:r>
      <w:r>
        <w:rPr>
          <w:i/>
          <w:iCs/>
        </w:rPr>
        <w:t>Proceedings of the National Academy of Sciences of the United States of America</w:t>
      </w:r>
      <w:r>
        <w:t xml:space="preserve"> 110 (2013): 12936. </w:t>
      </w:r>
    </w:p>
  </w:footnote>
  <w:footnote w:id="14">
    <w:p w14:paraId="03D5149E" w14:textId="77777777" w:rsidR="00183629" w:rsidRDefault="00183629" w:rsidP="00183629">
      <w:pPr>
        <w:pStyle w:val="FootnoteText"/>
        <w:ind w:firstLine="0"/>
        <w:jc w:val="left"/>
      </w:pPr>
      <w:r>
        <w:rPr>
          <w:rStyle w:val="FootnoteReference"/>
        </w:rPr>
        <w:footnoteRef/>
      </w:r>
      <w:r>
        <w:t xml:space="preserve"> Robert Goodland and Jeff Anhang, “Livestock and Climate Change,” </w:t>
      </w:r>
      <w:r w:rsidRPr="001F7E25">
        <w:rPr>
          <w:i/>
          <w:iCs/>
        </w:rPr>
        <w:t>World Watch</w:t>
      </w:r>
      <w:r>
        <w:t xml:space="preserve"> November/December (2009): 12.</w:t>
      </w:r>
    </w:p>
  </w:footnote>
  <w:footnote w:id="15">
    <w:p w14:paraId="2084AED8" w14:textId="59F7E448" w:rsidR="00183629" w:rsidRDefault="00183629" w:rsidP="00183629">
      <w:pPr>
        <w:pStyle w:val="FootnoteText"/>
        <w:ind w:firstLine="0"/>
        <w:jc w:val="left"/>
      </w:pPr>
      <w:r>
        <w:rPr>
          <w:rStyle w:val="FootnoteReference"/>
        </w:rPr>
        <w:footnoteRef/>
      </w:r>
      <w:r>
        <w:t xml:space="preserve"> </w:t>
      </w:r>
      <w:r w:rsidR="003E0AB9">
        <w:t>“</w:t>
      </w:r>
      <w:r>
        <w:t>Human development report 2007/8</w:t>
      </w:r>
      <w:r w:rsidR="003E0AB9">
        <w:t>,”</w:t>
      </w:r>
      <w:r>
        <w:t xml:space="preserve"> UN, </w:t>
      </w:r>
      <w:r w:rsidR="003E0AB9">
        <w:t xml:space="preserve">accessed 3 May 2020, </w:t>
      </w:r>
      <w:r w:rsidRPr="009F28A2">
        <w:t>http://hdr.undp.org/en/content/human-development-report-20078</w:t>
      </w:r>
      <w:r>
        <w:t>.</w:t>
      </w:r>
    </w:p>
  </w:footnote>
  <w:footnote w:id="16">
    <w:p w14:paraId="1D3445D9" w14:textId="77777777" w:rsidR="00183629" w:rsidRDefault="00183629" w:rsidP="00183629">
      <w:pPr>
        <w:pStyle w:val="FootnoteText"/>
        <w:ind w:firstLine="0"/>
        <w:jc w:val="left"/>
      </w:pPr>
      <w:r>
        <w:rPr>
          <w:rStyle w:val="FootnoteReference"/>
        </w:rPr>
        <w:footnoteRef/>
      </w:r>
      <w:r>
        <w:t xml:space="preserve"> David Ciplet et al., </w:t>
      </w:r>
      <w:r>
        <w:rPr>
          <w:i/>
          <w:iCs/>
        </w:rPr>
        <w:t>Power in a Warming World: The New Global Politics of Climate Change and the Remaking of Environmental Inequality</w:t>
      </w:r>
      <w:r>
        <w:t xml:space="preserve"> (London: MIT Press, 2015), 6.</w:t>
      </w:r>
    </w:p>
  </w:footnote>
  <w:footnote w:id="17">
    <w:p w14:paraId="79686434" w14:textId="77777777" w:rsidR="00183629" w:rsidRDefault="00183629" w:rsidP="00183629">
      <w:pPr>
        <w:pStyle w:val="FootnoteText"/>
        <w:ind w:firstLine="0"/>
        <w:jc w:val="left"/>
      </w:pPr>
      <w:r>
        <w:rPr>
          <w:rStyle w:val="FootnoteReference"/>
        </w:rPr>
        <w:footnoteRef/>
      </w:r>
      <w:r>
        <w:t xml:space="preserve"> E. A. Ajao and Sam Anurigwo. “Land-Based Sources of Pollution in the Niger Delta, Nigeria,” </w:t>
      </w:r>
      <w:r>
        <w:rPr>
          <w:i/>
          <w:iCs/>
        </w:rPr>
        <w:t>Ambio: A Journal of the Human Environment</w:t>
      </w:r>
      <w:r>
        <w:t xml:space="preserve"> 31 (2002): 444.</w:t>
      </w:r>
    </w:p>
  </w:footnote>
  <w:footnote w:id="18">
    <w:p w14:paraId="34D91EF2" w14:textId="77777777" w:rsidR="00183629" w:rsidRDefault="00183629" w:rsidP="00183629">
      <w:pPr>
        <w:pStyle w:val="FootnoteText"/>
        <w:ind w:firstLine="0"/>
        <w:jc w:val="left"/>
      </w:pPr>
      <w:r>
        <w:rPr>
          <w:rStyle w:val="FootnoteReference"/>
        </w:rPr>
        <w:footnoteRef/>
      </w:r>
      <w:r>
        <w:t xml:space="preserve"> “</w:t>
      </w:r>
      <w:r w:rsidRPr="007E6093">
        <w:t>The intensification of the water footprint of hydraulic fracturing</w:t>
      </w:r>
      <w:r>
        <w:t xml:space="preserve">,” Science Advances, accessed 15 May 2020, </w:t>
      </w:r>
      <w:r w:rsidRPr="00D70145">
        <w:t>https://advances.sciencemag.org/content/4/8/eaar5982.full</w:t>
      </w:r>
      <w:r>
        <w:t>.</w:t>
      </w:r>
    </w:p>
  </w:footnote>
  <w:footnote w:id="19">
    <w:p w14:paraId="0884EDBA" w14:textId="756FBA7C" w:rsidR="00183629" w:rsidRDefault="00183629" w:rsidP="00183629">
      <w:pPr>
        <w:pStyle w:val="FootnoteText"/>
        <w:ind w:firstLine="0"/>
        <w:jc w:val="left"/>
      </w:pPr>
      <w:r>
        <w:rPr>
          <w:rStyle w:val="FootnoteReference"/>
        </w:rPr>
        <w:footnoteRef/>
      </w:r>
      <w:r>
        <w:t xml:space="preserve"> </w:t>
      </w:r>
      <w:r w:rsidR="005576AA">
        <w:t xml:space="preserve">William </w:t>
      </w:r>
      <w:r>
        <w:t>Haviland, “Stature at Tikal, Guatemala: Implications for Ancient Maya Demography and Social Organization</w:t>
      </w:r>
      <w:r w:rsidR="005576AA">
        <w:t>,</w:t>
      </w:r>
      <w:r>
        <w:t xml:space="preserve">” </w:t>
      </w:r>
      <w:r>
        <w:rPr>
          <w:i/>
          <w:iCs/>
        </w:rPr>
        <w:t>American Antiquity</w:t>
      </w:r>
      <w:r>
        <w:t xml:space="preserve"> 32</w:t>
      </w:r>
      <w:r w:rsidR="005576AA">
        <w:t xml:space="preserve"> </w:t>
      </w:r>
      <w:r>
        <w:t>(1967): 3</w:t>
      </w:r>
      <w:r w:rsidR="005576AA">
        <w:t>20</w:t>
      </w:r>
      <w:r>
        <w:t>.</w:t>
      </w:r>
    </w:p>
  </w:footnote>
  <w:footnote w:id="20">
    <w:p w14:paraId="6EA0BACE" w14:textId="77777777" w:rsidR="00183629" w:rsidRDefault="00183629" w:rsidP="00183629">
      <w:pPr>
        <w:pStyle w:val="FootnoteText"/>
        <w:ind w:firstLine="0"/>
        <w:jc w:val="left"/>
      </w:pPr>
      <w:r>
        <w:rPr>
          <w:rStyle w:val="FootnoteReference"/>
        </w:rPr>
        <w:footnoteRef/>
      </w:r>
      <w:r>
        <w:t xml:space="preserve"> Kenneth Mayer and Hank Pizer, </w:t>
      </w:r>
      <w:r>
        <w:rPr>
          <w:i/>
          <w:iCs/>
        </w:rPr>
        <w:t>The Social Ecology of Infectious Diseases</w:t>
      </w:r>
      <w:r>
        <w:t xml:space="preserve"> (Amsterdam: Academic, 2008).</w:t>
      </w:r>
    </w:p>
  </w:footnote>
  <w:footnote w:id="21">
    <w:p w14:paraId="272B608E" w14:textId="77777777" w:rsidR="00183629" w:rsidRDefault="00183629" w:rsidP="00183629">
      <w:pPr>
        <w:pStyle w:val="FootnoteText"/>
        <w:ind w:firstLine="0"/>
        <w:jc w:val="left"/>
      </w:pPr>
      <w:r>
        <w:rPr>
          <w:rStyle w:val="FootnoteReference"/>
        </w:rPr>
        <w:footnoteRef/>
      </w:r>
      <w:r>
        <w:t xml:space="preserve"> Barry </w:t>
      </w:r>
      <w:r w:rsidRPr="00E300CC">
        <w:t>Smit, "The Science of Adaption: A framework for Assessment</w:t>
      </w:r>
      <w:r>
        <w:t>,</w:t>
      </w:r>
      <w:r w:rsidRPr="00E300CC">
        <w:t xml:space="preserve">" </w:t>
      </w:r>
      <w:r w:rsidRPr="009F1E85">
        <w:rPr>
          <w:i/>
          <w:iCs/>
        </w:rPr>
        <w:t>Mitigation and Adaption Strategies for Global Change</w:t>
      </w:r>
      <w:r w:rsidRPr="00E300CC">
        <w:t xml:space="preserve"> 4 </w:t>
      </w:r>
      <w:r>
        <w:t xml:space="preserve">(1999): </w:t>
      </w:r>
      <w:r w:rsidRPr="00E300CC">
        <w:t>199.</w:t>
      </w:r>
    </w:p>
  </w:footnote>
  <w:footnote w:id="22">
    <w:p w14:paraId="4623FAD5" w14:textId="74C7D3A8" w:rsidR="00183629" w:rsidRDefault="00183629" w:rsidP="00183629">
      <w:pPr>
        <w:pStyle w:val="FootnoteText"/>
        <w:ind w:firstLine="0"/>
        <w:jc w:val="left"/>
      </w:pPr>
      <w:r>
        <w:rPr>
          <w:rStyle w:val="FootnoteReference"/>
        </w:rPr>
        <w:footnoteRef/>
      </w:r>
      <w:r w:rsidR="003619ED">
        <w:t xml:space="preserve"> </w:t>
      </w:r>
      <w:r w:rsidR="003619ED" w:rsidRPr="003619ED">
        <w:t>“Air Conditioning For All?</w:t>
      </w:r>
      <w:r w:rsidR="003619ED">
        <w:t>,</w:t>
      </w:r>
      <w:r w:rsidR="003619ED" w:rsidRPr="003619ED">
        <w:t>”</w:t>
      </w:r>
      <w:r w:rsidR="003619ED">
        <w:t xml:space="preserve"> </w:t>
      </w:r>
      <w:r w:rsidR="003619ED" w:rsidRPr="003619ED">
        <w:t>Reuters</w:t>
      </w:r>
      <w:r w:rsidR="003619ED">
        <w:t>,</w:t>
      </w:r>
      <w:r w:rsidR="003619ED" w:rsidRPr="003619ED">
        <w:t xml:space="preserve"> </w:t>
      </w:r>
      <w:r w:rsidR="003619ED">
        <w:t>a</w:t>
      </w:r>
      <w:r w:rsidR="003619ED" w:rsidRPr="003619ED">
        <w:t>ccessed 7 May 2020</w:t>
      </w:r>
      <w:r w:rsidR="003619ED">
        <w:t>,</w:t>
      </w:r>
      <w:r w:rsidR="003619ED" w:rsidRPr="003619ED">
        <w:t xml:space="preserve"> https://uk.reuters.com/article/climate-change-cooling/air-conditioning-for-all-hotter-world-faces-risk-of-cooling-poverty-idUKL5N261213.</w:t>
      </w:r>
    </w:p>
  </w:footnote>
  <w:footnote w:id="23">
    <w:p w14:paraId="6D5A8FA6" w14:textId="77777777" w:rsidR="00183629" w:rsidRDefault="00183629" w:rsidP="00183629">
      <w:pPr>
        <w:pStyle w:val="FootnoteText"/>
        <w:ind w:firstLine="0"/>
        <w:jc w:val="left"/>
      </w:pPr>
      <w:r>
        <w:rPr>
          <w:rStyle w:val="FootnoteReference"/>
        </w:rPr>
        <w:footnoteRef/>
      </w:r>
      <w:r>
        <w:t xml:space="preserve"> Nancy Romero-Daza et al., ““Nobody Gives a Damn If I Live or Die”: Violence, Drugs, and Street- Level Prostitution in Inner- City Hartford, Connecticut,” </w:t>
      </w:r>
      <w:r w:rsidRPr="0024785E">
        <w:rPr>
          <w:i/>
          <w:iCs/>
        </w:rPr>
        <w:t>Medical Anthropology</w:t>
      </w:r>
      <w:r>
        <w:t xml:space="preserve"> 22 (2003): 234.</w:t>
      </w:r>
    </w:p>
  </w:footnote>
  <w:footnote w:id="24">
    <w:p w14:paraId="4645BE14" w14:textId="77777777" w:rsidR="00183629" w:rsidRDefault="00183629" w:rsidP="00183629">
      <w:pPr>
        <w:pStyle w:val="FootnoteText"/>
        <w:ind w:firstLine="0"/>
        <w:jc w:val="left"/>
      </w:pPr>
      <w:r>
        <w:rPr>
          <w:rStyle w:val="FootnoteReference"/>
        </w:rPr>
        <w:footnoteRef/>
      </w:r>
      <w:r>
        <w:t xml:space="preserve"> Ibid, 235.</w:t>
      </w:r>
    </w:p>
  </w:footnote>
  <w:footnote w:id="25">
    <w:p w14:paraId="7C99D8F5" w14:textId="77777777" w:rsidR="00183629" w:rsidRDefault="00183629" w:rsidP="00183629">
      <w:pPr>
        <w:pStyle w:val="FootnoteText"/>
        <w:ind w:firstLine="0"/>
        <w:jc w:val="left"/>
      </w:pPr>
      <w:r>
        <w:rPr>
          <w:rStyle w:val="FootnoteReference"/>
        </w:rPr>
        <w:footnoteRef/>
      </w:r>
      <w:r>
        <w:t xml:space="preserve"> “</w:t>
      </w:r>
      <w:r w:rsidRPr="002E63D7">
        <w:t>A Taste For Pork Helped A Deadly Virus Jump To Humans</w:t>
      </w:r>
      <w:r>
        <w:t>,</w:t>
      </w:r>
      <w:r w:rsidRPr="002E63D7">
        <w:t>" NPR</w:t>
      </w:r>
      <w:r>
        <w:t>, accessed</w:t>
      </w:r>
      <w:r w:rsidRPr="002E63D7">
        <w:t xml:space="preserve"> </w:t>
      </w:r>
      <w:r>
        <w:t>22</w:t>
      </w:r>
      <w:r w:rsidRPr="002E63D7">
        <w:t xml:space="preserve"> </w:t>
      </w:r>
      <w:r>
        <w:t>May</w:t>
      </w:r>
      <w:r w:rsidRPr="002E63D7">
        <w:t xml:space="preserve"> 20</w:t>
      </w:r>
      <w:r>
        <w:t xml:space="preserve">20, </w:t>
      </w:r>
      <w:r w:rsidRPr="00136665">
        <w:t>https://www.npr.org/sections/goatsandsoda/2017/02/25/515258818/a-taste-for-pork-helped-a-deadly-virus-jump-to-humans</w:t>
      </w:r>
      <w:r w:rsidRPr="002E63D7">
        <w:t>.</w:t>
      </w:r>
    </w:p>
  </w:footnote>
  <w:footnote w:id="26">
    <w:p w14:paraId="35252B16" w14:textId="77777777" w:rsidR="00183629" w:rsidRPr="003B53AF" w:rsidRDefault="00183629" w:rsidP="00183629">
      <w:pPr>
        <w:pStyle w:val="FootnoteText"/>
        <w:ind w:firstLine="0"/>
        <w:jc w:val="left"/>
        <w:rPr>
          <w:i/>
          <w:iCs/>
        </w:rPr>
      </w:pPr>
      <w:r>
        <w:rPr>
          <w:rStyle w:val="FootnoteReference"/>
        </w:rPr>
        <w:footnoteRef/>
      </w:r>
      <w:r>
        <w:t xml:space="preserve"> Hans Baer and Merrill Singer, </w:t>
      </w:r>
      <w:r w:rsidRPr="00A245CF">
        <w:rPr>
          <w:i/>
          <w:iCs/>
        </w:rPr>
        <w:t>Global Warming and the Political Ecology of Health:</w:t>
      </w:r>
      <w:r>
        <w:rPr>
          <w:i/>
          <w:iCs/>
        </w:rPr>
        <w:t xml:space="preserve"> </w:t>
      </w:r>
      <w:r w:rsidRPr="00A245CF">
        <w:rPr>
          <w:i/>
          <w:iCs/>
        </w:rPr>
        <w:t>Emerging Crises and Systemic Solutions</w:t>
      </w:r>
      <w:r>
        <w:t xml:space="preserve"> (Walnut Creek: Left Coast Press, 2009), 75.</w:t>
      </w:r>
    </w:p>
  </w:footnote>
  <w:footnote w:id="27">
    <w:p w14:paraId="6DF2BD09" w14:textId="77777777" w:rsidR="00183629" w:rsidRDefault="00183629" w:rsidP="00183629">
      <w:pPr>
        <w:pStyle w:val="FootnoteText"/>
        <w:ind w:firstLine="0"/>
        <w:jc w:val="left"/>
      </w:pPr>
      <w:r>
        <w:rPr>
          <w:rStyle w:val="FootnoteReference"/>
        </w:rPr>
        <w:footnoteRef/>
      </w:r>
      <w:r>
        <w:t xml:space="preserve"> Ann McElroy and Patricia Townsend, </w:t>
      </w:r>
      <w:r>
        <w:rPr>
          <w:i/>
          <w:iCs/>
        </w:rPr>
        <w:t>Medical Anthropology in Ecological Perspective</w:t>
      </w:r>
      <w:r>
        <w:t xml:space="preserve"> (New York: Westview Press, 2015), 35.</w:t>
      </w:r>
    </w:p>
  </w:footnote>
  <w:footnote w:id="28">
    <w:p w14:paraId="144AFE81" w14:textId="77777777" w:rsidR="00183629" w:rsidRDefault="00183629" w:rsidP="00183629">
      <w:pPr>
        <w:pStyle w:val="FootnoteText"/>
        <w:ind w:firstLine="0"/>
        <w:jc w:val="left"/>
      </w:pPr>
      <w:r>
        <w:rPr>
          <w:rStyle w:val="FootnoteReference"/>
        </w:rPr>
        <w:footnoteRef/>
      </w:r>
      <w:r>
        <w:t xml:space="preserve"> Bernhard Glaeser, </w:t>
      </w:r>
      <w:r>
        <w:rPr>
          <w:i/>
          <w:iCs/>
        </w:rPr>
        <w:t>The Green Revolution Revisited: Critique and Alternatives</w:t>
      </w:r>
      <w:r>
        <w:t xml:space="preserve"> (Oxon: Routledge, 2011), 142.</w:t>
      </w:r>
    </w:p>
  </w:footnote>
  <w:footnote w:id="29">
    <w:p w14:paraId="1C1254A3" w14:textId="77777777" w:rsidR="00183629" w:rsidRDefault="00183629" w:rsidP="00183629">
      <w:pPr>
        <w:pStyle w:val="FootnoteText"/>
        <w:ind w:firstLine="0"/>
        <w:jc w:val="left"/>
      </w:pPr>
      <w:r>
        <w:rPr>
          <w:rStyle w:val="FootnoteReference"/>
        </w:rPr>
        <w:footnoteRef/>
      </w:r>
      <w:r>
        <w:t xml:space="preserve"> McElroy and Townsend, </w:t>
      </w:r>
      <w:r>
        <w:rPr>
          <w:i/>
          <w:iCs/>
        </w:rPr>
        <w:t>Medical Anthropology in Ecological Perspective</w:t>
      </w:r>
      <w:r>
        <w:t>, 6.</w:t>
      </w:r>
    </w:p>
  </w:footnote>
  <w:footnote w:id="30">
    <w:p w14:paraId="0645A66B" w14:textId="77777777" w:rsidR="00183629" w:rsidRDefault="00183629" w:rsidP="00183629">
      <w:pPr>
        <w:pStyle w:val="FootnoteText"/>
        <w:ind w:firstLine="0"/>
        <w:jc w:val="left"/>
      </w:pPr>
      <w:r>
        <w:rPr>
          <w:rStyle w:val="FootnoteReference"/>
        </w:rPr>
        <w:footnoteRef/>
      </w:r>
      <w:r>
        <w:t xml:space="preserve"> </w:t>
      </w:r>
      <w:r w:rsidRPr="00DA66E0">
        <w:t>Christina</w:t>
      </w:r>
      <w:r>
        <w:t xml:space="preserve"> </w:t>
      </w:r>
      <w:r w:rsidRPr="00DA66E0">
        <w:t>Frank</w:t>
      </w:r>
      <w:r>
        <w:t xml:space="preserve"> et al., “The Role of Parenteral Antischistosomal Therapy in the Spread of Hepatitis C Virus in Egypt,” </w:t>
      </w:r>
      <w:r>
        <w:rPr>
          <w:i/>
          <w:iCs/>
        </w:rPr>
        <w:t xml:space="preserve">Lancet </w:t>
      </w:r>
      <w:r>
        <w:t>355 (2000): 887.</w:t>
      </w:r>
    </w:p>
  </w:footnote>
  <w:footnote w:id="31">
    <w:p w14:paraId="390E0900" w14:textId="77777777" w:rsidR="00183629" w:rsidRDefault="00183629" w:rsidP="00183629">
      <w:pPr>
        <w:pStyle w:val="FootnoteText"/>
        <w:ind w:firstLine="0"/>
        <w:jc w:val="left"/>
      </w:pPr>
      <w:r>
        <w:rPr>
          <w:rStyle w:val="FootnoteReference"/>
        </w:rPr>
        <w:footnoteRef/>
      </w:r>
      <w:r>
        <w:t xml:space="preserve"> </w:t>
      </w:r>
      <w:r w:rsidRPr="00857898">
        <w:t>Mark Cohen and Gillian Crane-Kramer</w:t>
      </w:r>
      <w:r>
        <w:t>,</w:t>
      </w:r>
      <w:r w:rsidRPr="00857898">
        <w:t xml:space="preserve"> </w:t>
      </w:r>
      <w:r w:rsidRPr="00857898">
        <w:rPr>
          <w:i/>
          <w:iCs/>
        </w:rPr>
        <w:t>Ancient health: skeletal indicators of agricultural and economic intensification</w:t>
      </w:r>
      <w:r>
        <w:t xml:space="preserve"> (Florida: </w:t>
      </w:r>
      <w:r w:rsidRPr="00734E96">
        <w:t>University Press of Florida</w:t>
      </w:r>
      <w:r>
        <w:t>, 2007), 148.</w:t>
      </w:r>
    </w:p>
  </w:footnote>
  <w:footnote w:id="32">
    <w:p w14:paraId="6A7C0C54" w14:textId="77777777" w:rsidR="00183629" w:rsidRPr="00986116" w:rsidRDefault="00183629" w:rsidP="00183629">
      <w:pPr>
        <w:pStyle w:val="FootnoteText"/>
        <w:ind w:firstLine="0"/>
        <w:jc w:val="left"/>
        <w:rPr>
          <w:i/>
          <w:iCs/>
        </w:rPr>
      </w:pPr>
      <w:r>
        <w:rPr>
          <w:rStyle w:val="FootnoteReference"/>
        </w:rPr>
        <w:footnoteRef/>
      </w:r>
      <w:r>
        <w:t xml:space="preserve"> Bruce Winterhalter and Eric Alden Smith, </w:t>
      </w:r>
      <w:r w:rsidRPr="00437D5B">
        <w:rPr>
          <w:i/>
          <w:iCs/>
        </w:rPr>
        <w:t>Hunter-Gatherer Foraging Strategies:</w:t>
      </w:r>
      <w:r>
        <w:rPr>
          <w:i/>
          <w:iCs/>
        </w:rPr>
        <w:t xml:space="preserve"> </w:t>
      </w:r>
      <w:r w:rsidRPr="00437D5B">
        <w:rPr>
          <w:i/>
          <w:iCs/>
        </w:rPr>
        <w:t>Ethnographic and Archaeological Analyses</w:t>
      </w:r>
      <w:r>
        <w:t xml:space="preserve"> (Chicago: University of Chicago Press, 1981), 4.</w:t>
      </w:r>
    </w:p>
  </w:footnote>
  <w:footnote w:id="33">
    <w:p w14:paraId="33F1EFB9" w14:textId="77777777" w:rsidR="00183629" w:rsidRDefault="00183629" w:rsidP="00183629">
      <w:pPr>
        <w:pStyle w:val="FootnoteText"/>
        <w:ind w:firstLine="0"/>
        <w:jc w:val="left"/>
      </w:pPr>
      <w:r>
        <w:rPr>
          <w:rStyle w:val="FootnoteReference"/>
        </w:rPr>
        <w:footnoteRef/>
      </w:r>
      <w:r>
        <w:t xml:space="preserve"> Ibid, 1.</w:t>
      </w:r>
    </w:p>
  </w:footnote>
  <w:footnote w:id="34">
    <w:p w14:paraId="638653B0" w14:textId="77777777" w:rsidR="00183629" w:rsidRDefault="00183629" w:rsidP="00183629">
      <w:pPr>
        <w:pStyle w:val="FootnoteText"/>
        <w:ind w:firstLine="0"/>
      </w:pPr>
      <w:r>
        <w:rPr>
          <w:rStyle w:val="FootnoteReference"/>
        </w:rPr>
        <w:footnoteRef/>
      </w:r>
      <w:r>
        <w:t xml:space="preserve"> Dali Yang, </w:t>
      </w:r>
      <w:r>
        <w:rPr>
          <w:i/>
          <w:iCs/>
        </w:rPr>
        <w:t>Calamity and Reform in China: State, Rural Society, and Institutional Change Since the Great Leap Famine</w:t>
      </w:r>
      <w:r>
        <w:t xml:space="preserve"> (Stanford: Stanford University Press, 1996), 55.</w:t>
      </w:r>
    </w:p>
  </w:footnote>
  <w:footnote w:id="35">
    <w:p w14:paraId="33456BB8" w14:textId="77777777" w:rsidR="00183629" w:rsidRDefault="00183629" w:rsidP="00183629">
      <w:pPr>
        <w:pStyle w:val="FootnoteText"/>
        <w:ind w:firstLine="0"/>
      </w:pPr>
      <w:r>
        <w:rPr>
          <w:rStyle w:val="FootnoteReference"/>
        </w:rPr>
        <w:footnoteRef/>
      </w:r>
      <w:r>
        <w:t xml:space="preserve"> Dubos René. “Science and Man's Nature.” </w:t>
      </w:r>
      <w:r>
        <w:rPr>
          <w:i/>
          <w:iCs/>
        </w:rPr>
        <w:t>Daedalus</w:t>
      </w:r>
      <w:r>
        <w:t xml:space="preserve"> 94, no. 1 (1965): 223–44.</w:t>
      </w:r>
    </w:p>
  </w:footnote>
  <w:footnote w:id="36">
    <w:p w14:paraId="09423116" w14:textId="77777777" w:rsidR="00183629" w:rsidRDefault="00183629" w:rsidP="00183629">
      <w:pPr>
        <w:pStyle w:val="FootnoteText"/>
        <w:ind w:firstLine="0"/>
      </w:pPr>
      <w:r>
        <w:rPr>
          <w:rStyle w:val="FootnoteReference"/>
        </w:rPr>
        <w:footnoteRef/>
      </w:r>
      <w:r>
        <w:t xml:space="preserve"> “Climate Change,” IUCN, accessed 12 May 2020, </w:t>
      </w:r>
      <w:r w:rsidRPr="00BF50C2">
        <w:t>https://www.iucn.org/theme/climate-change</w:t>
      </w:r>
      <w:r>
        <w:t>.</w:t>
      </w:r>
    </w:p>
  </w:footnote>
  <w:footnote w:id="37">
    <w:p w14:paraId="4B61D828" w14:textId="77777777" w:rsidR="00183629" w:rsidRDefault="00183629" w:rsidP="00183629">
      <w:pPr>
        <w:pStyle w:val="FootnoteText"/>
        <w:ind w:firstLine="0"/>
        <w:jc w:val="left"/>
      </w:pPr>
      <w:r>
        <w:rPr>
          <w:rStyle w:val="FootnoteReference"/>
        </w:rPr>
        <w:footnoteRef/>
      </w:r>
      <w:r>
        <w:t xml:space="preserve"> Christina Folke Ax, </w:t>
      </w:r>
      <w:r w:rsidRPr="00994D43">
        <w:rPr>
          <w:i/>
          <w:iCs/>
        </w:rPr>
        <w:t>Cultivating the Colonies: Colonial States and Their Environmental Legacies</w:t>
      </w:r>
      <w:r>
        <w:t xml:space="preserve"> (Athens: Ohio University Press, 2011), 6-7. </w:t>
      </w:r>
    </w:p>
  </w:footnote>
  <w:footnote w:id="38">
    <w:p w14:paraId="03AE5518" w14:textId="77777777" w:rsidR="00183629" w:rsidRDefault="00183629" w:rsidP="00183629">
      <w:pPr>
        <w:pStyle w:val="FootnoteText"/>
        <w:ind w:firstLine="0"/>
        <w:jc w:val="left"/>
      </w:pPr>
      <w:r>
        <w:rPr>
          <w:rStyle w:val="FootnoteReference"/>
        </w:rPr>
        <w:footnoteRef/>
      </w:r>
      <w:r>
        <w:t xml:space="preserve"> Edwin Wilmsen, “Studies in Diet, Nutrition, and Fertility Among a Group of Kalahari</w:t>
      </w:r>
    </w:p>
    <w:p w14:paraId="52033609" w14:textId="77777777" w:rsidR="00183629" w:rsidRDefault="00183629" w:rsidP="00183629">
      <w:pPr>
        <w:pStyle w:val="FootnoteText"/>
        <w:ind w:firstLine="0"/>
        <w:jc w:val="left"/>
      </w:pPr>
      <w:r>
        <w:t xml:space="preserve">Bushmen in Botswana,” </w:t>
      </w:r>
      <w:r w:rsidRPr="00F45B48">
        <w:rPr>
          <w:i/>
          <w:iCs/>
        </w:rPr>
        <w:t>Social Science Information</w:t>
      </w:r>
      <w:r>
        <w:t xml:space="preserve"> 21 (1982): 98.</w:t>
      </w:r>
    </w:p>
  </w:footnote>
  <w:footnote w:id="39">
    <w:p w14:paraId="603CD993" w14:textId="77777777" w:rsidR="00183629" w:rsidRDefault="00183629" w:rsidP="00183629">
      <w:pPr>
        <w:pStyle w:val="FootnoteText"/>
        <w:ind w:firstLine="0"/>
        <w:jc w:val="left"/>
      </w:pPr>
      <w:r>
        <w:rPr>
          <w:rStyle w:val="FootnoteReference"/>
        </w:rPr>
        <w:footnoteRef/>
      </w:r>
      <w:r>
        <w:t xml:space="preserve"> Ibid, 98-99.</w:t>
      </w:r>
    </w:p>
  </w:footnote>
  <w:footnote w:id="40">
    <w:p w14:paraId="1973C23C" w14:textId="77777777" w:rsidR="00183629" w:rsidRDefault="00183629" w:rsidP="00183629">
      <w:pPr>
        <w:pStyle w:val="FootnoteText"/>
        <w:ind w:firstLine="0"/>
        <w:jc w:val="left"/>
      </w:pPr>
      <w:r>
        <w:rPr>
          <w:rStyle w:val="FootnoteReference"/>
        </w:rPr>
        <w:footnoteRef/>
      </w:r>
      <w:r>
        <w:t xml:space="preserve"> Carolan, </w:t>
      </w:r>
      <w:r>
        <w:rPr>
          <w:i/>
          <w:iCs/>
        </w:rPr>
        <w:t xml:space="preserve">The Sociology of Food and Agriculture, </w:t>
      </w:r>
      <w:r>
        <w:t>166.</w:t>
      </w:r>
    </w:p>
  </w:footnote>
  <w:footnote w:id="41">
    <w:p w14:paraId="08EF2582" w14:textId="77777777" w:rsidR="00183629" w:rsidRDefault="00183629" w:rsidP="00183629">
      <w:pPr>
        <w:pStyle w:val="FootnoteText"/>
        <w:ind w:firstLine="0"/>
        <w:jc w:val="left"/>
      </w:pPr>
      <w:r>
        <w:rPr>
          <w:rStyle w:val="FootnoteReference"/>
        </w:rPr>
        <w:footnoteRef/>
      </w:r>
      <w:r>
        <w:t xml:space="preserve"> “Indigenous Peoples,” IUCN, accessed 12 May 2020, </w:t>
      </w:r>
      <w:r w:rsidRPr="00D70E23">
        <w:t>https://www.iucn.org/theme/governance-and-rights/our-work/indigenous-peoples</w:t>
      </w:r>
      <w:r>
        <w:t xml:space="preserve">. </w:t>
      </w:r>
    </w:p>
  </w:footnote>
  <w:footnote w:id="42">
    <w:p w14:paraId="597E980F" w14:textId="77777777" w:rsidR="00183629" w:rsidRDefault="00183629" w:rsidP="00183629">
      <w:pPr>
        <w:pStyle w:val="FootnoteText"/>
        <w:ind w:firstLine="0"/>
        <w:jc w:val="left"/>
      </w:pPr>
      <w:r>
        <w:rPr>
          <w:rStyle w:val="FootnoteReference"/>
        </w:rPr>
        <w:footnoteRef/>
      </w:r>
      <w:r>
        <w:t xml:space="preserve"> J.F. Morton, “The Impact of Climate Change on Smallholder and Subsistence Agriculture,” </w:t>
      </w:r>
      <w:r>
        <w:rPr>
          <w:i/>
          <w:iCs/>
        </w:rPr>
        <w:t>Proceedings- National Academy of Sciences USA</w:t>
      </w:r>
      <w:r>
        <w:t xml:space="preserve"> 104 (2007): 19680. </w:t>
      </w:r>
    </w:p>
  </w:footnote>
  <w:footnote w:id="43">
    <w:p w14:paraId="689C5B40" w14:textId="77777777" w:rsidR="00183629" w:rsidRDefault="00183629" w:rsidP="00183629">
      <w:pPr>
        <w:pStyle w:val="FootnoteText"/>
        <w:ind w:firstLine="0"/>
        <w:jc w:val="left"/>
      </w:pPr>
      <w:r>
        <w:rPr>
          <w:rStyle w:val="FootnoteReference"/>
        </w:rPr>
        <w:footnoteRef/>
      </w:r>
      <w:r>
        <w:t xml:space="preserve"> Ibid, 19681.</w:t>
      </w:r>
    </w:p>
  </w:footnote>
  <w:footnote w:id="44">
    <w:p w14:paraId="5165A45B" w14:textId="77777777" w:rsidR="00183629" w:rsidRPr="0014736D" w:rsidRDefault="00183629" w:rsidP="000564C2">
      <w:pPr>
        <w:autoSpaceDE w:val="0"/>
        <w:autoSpaceDN w:val="0"/>
        <w:adjustRightInd w:val="0"/>
        <w:spacing w:after="0" w:line="240" w:lineRule="auto"/>
        <w:rPr>
          <w:rFonts w:ascii="MinionPro-Regular" w:hAnsi="MinionPro-Regular" w:cs="MinionPro-Regular"/>
          <w:sz w:val="18"/>
          <w:szCs w:val="18"/>
        </w:rPr>
      </w:pPr>
      <w:r>
        <w:rPr>
          <w:rStyle w:val="FootnoteReference"/>
        </w:rPr>
        <w:footnoteRef/>
      </w:r>
      <w:r>
        <w:t xml:space="preserve"> </w:t>
      </w:r>
      <w:r w:rsidRPr="00436733">
        <w:rPr>
          <w:rFonts w:ascii="Times New Roman" w:hAnsi="Times New Roman" w:cs="Times New Roman"/>
          <w:sz w:val="20"/>
        </w:rPr>
        <w:t xml:space="preserve">Chensheng Lu,” Sub-lethal Exposure to Neonicotinoids Impaired Honey Bees Winterization Before Proceeding to Colony Collapse Disorder,” </w:t>
      </w:r>
      <w:r w:rsidRPr="00436733">
        <w:rPr>
          <w:rFonts w:ascii="Times New Roman" w:hAnsi="Times New Roman" w:cs="Times New Roman"/>
          <w:i/>
          <w:iCs/>
          <w:sz w:val="20"/>
        </w:rPr>
        <w:t xml:space="preserve">Bulletin of Insectology </w:t>
      </w:r>
      <w:r w:rsidRPr="00436733">
        <w:rPr>
          <w:rFonts w:ascii="Times New Roman" w:hAnsi="Times New Roman" w:cs="Times New Roman"/>
          <w:sz w:val="20"/>
        </w:rPr>
        <w:t>67 (2014): 125.</w:t>
      </w:r>
    </w:p>
  </w:footnote>
  <w:footnote w:id="45">
    <w:p w14:paraId="435F056F" w14:textId="77777777" w:rsidR="00183629" w:rsidRDefault="00183629" w:rsidP="00183629">
      <w:pPr>
        <w:pStyle w:val="FootnoteText"/>
        <w:ind w:firstLine="0"/>
        <w:jc w:val="left"/>
      </w:pPr>
      <w:r>
        <w:rPr>
          <w:rStyle w:val="FootnoteReference"/>
        </w:rPr>
        <w:footnoteRef/>
      </w:r>
      <w:r>
        <w:t xml:space="preserve"> </w:t>
      </w:r>
      <w:r w:rsidRPr="00750BC0">
        <w:t>Thomas Bøhn</w:t>
      </w:r>
      <w:r>
        <w:t xml:space="preserve">, “Insufficient Risk Assessment of Herbicide-Tolerant Genetically Engineered Soybeans Intended for Import into the EU,” </w:t>
      </w:r>
      <w:r>
        <w:rPr>
          <w:i/>
          <w:iCs/>
        </w:rPr>
        <w:t>Environmental Sciences Europe</w:t>
      </w:r>
      <w:r>
        <w:t xml:space="preserve"> 31 (2019): 2.</w:t>
      </w:r>
    </w:p>
  </w:footnote>
  <w:footnote w:id="46">
    <w:p w14:paraId="2F604D04" w14:textId="77777777" w:rsidR="00183629" w:rsidRDefault="00183629" w:rsidP="00183629">
      <w:pPr>
        <w:pStyle w:val="FootnoteText"/>
        <w:ind w:firstLine="0"/>
        <w:jc w:val="left"/>
      </w:pPr>
      <w:r>
        <w:rPr>
          <w:rStyle w:val="FootnoteReference"/>
        </w:rPr>
        <w:footnoteRef/>
      </w:r>
      <w:r>
        <w:t xml:space="preserve"> Stewart Fogg and Peter Fay, </w:t>
      </w:r>
      <w:r>
        <w:rPr>
          <w:i/>
          <w:iCs/>
        </w:rPr>
        <w:t>The Blue-Green Algae</w:t>
      </w:r>
      <w:r>
        <w:t xml:space="preserve"> (London: Academic Press, 1973), 180.</w:t>
      </w:r>
    </w:p>
  </w:footnote>
  <w:footnote w:id="47">
    <w:p w14:paraId="1C775631" w14:textId="77777777" w:rsidR="00183629" w:rsidRDefault="00183629" w:rsidP="00183629">
      <w:pPr>
        <w:pStyle w:val="FootnoteText"/>
        <w:ind w:firstLine="0"/>
        <w:jc w:val="left"/>
      </w:pPr>
      <w:r>
        <w:rPr>
          <w:rStyle w:val="FootnoteReference"/>
        </w:rPr>
        <w:footnoteRef/>
      </w:r>
      <w:r>
        <w:t xml:space="preserve"> Ibid, 358. </w:t>
      </w:r>
    </w:p>
  </w:footnote>
  <w:footnote w:id="48">
    <w:p w14:paraId="29325112" w14:textId="77777777" w:rsidR="00183629" w:rsidRPr="00137D04" w:rsidRDefault="00183629" w:rsidP="00183629">
      <w:pPr>
        <w:pStyle w:val="FootnoteText"/>
        <w:ind w:firstLine="0"/>
        <w:jc w:val="left"/>
        <w:rPr>
          <w:i/>
          <w:iCs/>
        </w:rPr>
      </w:pPr>
      <w:r w:rsidRPr="00137D04">
        <w:rPr>
          <w:rStyle w:val="FootnoteReference"/>
        </w:rPr>
        <w:footnoteRef/>
      </w:r>
      <w:r w:rsidRPr="00137D04">
        <w:t xml:space="preserve"> Alisha Coleman- Jensen et al., “Household Food Security in the United States,” </w:t>
      </w:r>
      <w:r w:rsidRPr="00137D04">
        <w:rPr>
          <w:i/>
          <w:iCs/>
        </w:rPr>
        <w:t xml:space="preserve">USDA Economic Research Report </w:t>
      </w:r>
      <w:r w:rsidRPr="00137D04">
        <w:t xml:space="preserve">141 (2012): 2. </w:t>
      </w:r>
    </w:p>
  </w:footnote>
  <w:footnote w:id="49">
    <w:p w14:paraId="0A5CED05" w14:textId="77777777" w:rsidR="00183629" w:rsidRPr="00137D04" w:rsidRDefault="00183629" w:rsidP="00183629">
      <w:pPr>
        <w:pStyle w:val="FootnoteText"/>
        <w:ind w:firstLine="0"/>
        <w:jc w:val="left"/>
      </w:pPr>
      <w:r w:rsidRPr="00137D04">
        <w:rPr>
          <w:rStyle w:val="FootnoteReference"/>
        </w:rPr>
        <w:footnoteRef/>
      </w:r>
      <w:r w:rsidRPr="00137D04">
        <w:t xml:space="preserve"> Ibid, 3-4.</w:t>
      </w:r>
    </w:p>
  </w:footnote>
  <w:footnote w:id="50">
    <w:p w14:paraId="29FD8540" w14:textId="77777777" w:rsidR="00183629" w:rsidRPr="00137D04" w:rsidRDefault="00183629" w:rsidP="00183629">
      <w:pPr>
        <w:pStyle w:val="FootnoteText"/>
        <w:ind w:firstLine="0"/>
        <w:jc w:val="left"/>
        <w:rPr>
          <w:i/>
          <w:iCs/>
        </w:rPr>
      </w:pPr>
      <w:r w:rsidRPr="00137D04">
        <w:rPr>
          <w:rStyle w:val="FootnoteReference"/>
        </w:rPr>
        <w:footnoteRef/>
      </w:r>
      <w:r w:rsidRPr="00137D04">
        <w:t xml:space="preserve"> Sarah Elton, “Environments, Adaptation, and Evolutionary Medicine: Should We Be Eating a Stone Age Diet?,” In </w:t>
      </w:r>
      <w:r w:rsidRPr="00137D04">
        <w:rPr>
          <w:i/>
          <w:iCs/>
        </w:rPr>
        <w:t xml:space="preserve">Medicine and Evolution: Current Applications, Future Prospects, </w:t>
      </w:r>
      <w:r w:rsidRPr="00137D04">
        <w:t>eds. Sarah Elton and Paul O’Higgins (Boca Raton: CRC Press, 2008), 9.</w:t>
      </w:r>
    </w:p>
  </w:footnote>
  <w:footnote w:id="51">
    <w:p w14:paraId="7DEDB712" w14:textId="77777777" w:rsidR="00183629" w:rsidRPr="000564C2" w:rsidRDefault="00183629" w:rsidP="000564C2">
      <w:pPr>
        <w:autoSpaceDE w:val="0"/>
        <w:autoSpaceDN w:val="0"/>
        <w:adjustRightInd w:val="0"/>
        <w:spacing w:after="0" w:line="240" w:lineRule="auto"/>
        <w:rPr>
          <w:rFonts w:ascii="Times New Roman" w:hAnsi="Times New Roman" w:cs="Times New Roman"/>
          <w:sz w:val="20"/>
        </w:rPr>
      </w:pPr>
      <w:r w:rsidRPr="000564C2">
        <w:rPr>
          <w:rStyle w:val="FootnoteReference"/>
          <w:rFonts w:ascii="Times New Roman" w:hAnsi="Times New Roman" w:cs="Times New Roman"/>
          <w:sz w:val="20"/>
        </w:rPr>
        <w:footnoteRef/>
      </w:r>
      <w:r w:rsidRPr="000564C2">
        <w:rPr>
          <w:rFonts w:ascii="Times New Roman" w:hAnsi="Times New Roman" w:cs="Times New Roman"/>
          <w:sz w:val="20"/>
        </w:rPr>
        <w:t xml:space="preserve"> Julie Guthman, </w:t>
      </w:r>
      <w:r w:rsidRPr="000564C2">
        <w:rPr>
          <w:rFonts w:ascii="Times New Roman" w:hAnsi="Times New Roman" w:cs="Times New Roman"/>
          <w:i/>
          <w:iCs/>
          <w:sz w:val="20"/>
        </w:rPr>
        <w:t>Weighing In: Obesity</w:t>
      </w:r>
      <w:r w:rsidRPr="000564C2">
        <w:rPr>
          <w:rFonts w:ascii="Times New Roman" w:hAnsi="Times New Roman" w:cs="Times New Roman"/>
          <w:sz w:val="20"/>
        </w:rPr>
        <w:t xml:space="preserve">, </w:t>
      </w:r>
      <w:r w:rsidRPr="000564C2">
        <w:rPr>
          <w:rFonts w:ascii="Times New Roman" w:hAnsi="Times New Roman" w:cs="Times New Roman"/>
          <w:i/>
          <w:iCs/>
          <w:sz w:val="20"/>
        </w:rPr>
        <w:t>Food Justice</w:t>
      </w:r>
      <w:r w:rsidRPr="000564C2">
        <w:rPr>
          <w:rFonts w:ascii="Times New Roman" w:hAnsi="Times New Roman" w:cs="Times New Roman"/>
          <w:sz w:val="20"/>
        </w:rPr>
        <w:t xml:space="preserve">, </w:t>
      </w:r>
      <w:r w:rsidRPr="000564C2">
        <w:rPr>
          <w:rFonts w:ascii="Times New Roman" w:hAnsi="Times New Roman" w:cs="Times New Roman"/>
          <w:i/>
          <w:iCs/>
          <w:sz w:val="20"/>
        </w:rPr>
        <w:t xml:space="preserve">and the Limits of Capitalism </w:t>
      </w:r>
      <w:r w:rsidRPr="000564C2">
        <w:rPr>
          <w:rFonts w:ascii="Times New Roman" w:hAnsi="Times New Roman" w:cs="Times New Roman"/>
          <w:sz w:val="20"/>
        </w:rPr>
        <w:t>(Berkeley: University of California Press, 2011), 110.</w:t>
      </w:r>
    </w:p>
  </w:footnote>
  <w:footnote w:id="52">
    <w:p w14:paraId="2395310A" w14:textId="77777777" w:rsidR="00183629" w:rsidRPr="000564C2" w:rsidRDefault="00183629" w:rsidP="000564C2">
      <w:pPr>
        <w:pStyle w:val="FootnoteText"/>
        <w:ind w:firstLine="0"/>
        <w:jc w:val="left"/>
      </w:pPr>
      <w:r w:rsidRPr="000564C2">
        <w:rPr>
          <w:rStyle w:val="FootnoteReference"/>
        </w:rPr>
        <w:footnoteRef/>
      </w:r>
      <w:r w:rsidRPr="000564C2">
        <w:t xml:space="preserve"> Ibid, 111.</w:t>
      </w:r>
    </w:p>
  </w:footnote>
  <w:footnote w:id="53">
    <w:p w14:paraId="2D871E15" w14:textId="77777777" w:rsidR="00183629" w:rsidRPr="000564C2" w:rsidRDefault="00183629" w:rsidP="000564C2">
      <w:pPr>
        <w:autoSpaceDE w:val="0"/>
        <w:autoSpaceDN w:val="0"/>
        <w:adjustRightInd w:val="0"/>
        <w:spacing w:after="0" w:line="240" w:lineRule="auto"/>
        <w:rPr>
          <w:rFonts w:ascii="Times New Roman" w:hAnsi="Times New Roman" w:cs="Times New Roman"/>
          <w:i/>
          <w:iCs/>
          <w:sz w:val="20"/>
        </w:rPr>
      </w:pPr>
      <w:r w:rsidRPr="000564C2">
        <w:rPr>
          <w:rStyle w:val="FootnoteReference"/>
          <w:rFonts w:ascii="Times New Roman" w:hAnsi="Times New Roman" w:cs="Times New Roman"/>
          <w:sz w:val="20"/>
        </w:rPr>
        <w:footnoteRef/>
      </w:r>
      <w:r w:rsidRPr="000564C2">
        <w:rPr>
          <w:rFonts w:ascii="Times New Roman" w:hAnsi="Times New Roman" w:cs="Times New Roman"/>
          <w:sz w:val="20"/>
        </w:rPr>
        <w:t xml:space="preserve"> Anna Bellisari, </w:t>
      </w:r>
      <w:r w:rsidRPr="000564C2">
        <w:rPr>
          <w:rFonts w:ascii="Times New Roman" w:hAnsi="Times New Roman" w:cs="Times New Roman"/>
          <w:i/>
          <w:iCs/>
          <w:sz w:val="20"/>
        </w:rPr>
        <w:t xml:space="preserve">The Obesity Epidemic in North America: Connecting Biology and Culture </w:t>
      </w:r>
      <w:r w:rsidRPr="000564C2">
        <w:rPr>
          <w:rFonts w:ascii="Times New Roman" w:hAnsi="Times New Roman" w:cs="Times New Roman"/>
          <w:sz w:val="20"/>
        </w:rPr>
        <w:t>(Long Grove: Waveland Press, 2013), 16.</w:t>
      </w:r>
    </w:p>
  </w:footnote>
  <w:footnote w:id="54">
    <w:p w14:paraId="3399D01D" w14:textId="77777777" w:rsidR="00183629" w:rsidRPr="000564C2" w:rsidRDefault="00183629" w:rsidP="000564C2">
      <w:pPr>
        <w:pStyle w:val="FootnoteText"/>
        <w:ind w:firstLine="0"/>
        <w:jc w:val="left"/>
      </w:pPr>
      <w:r w:rsidRPr="000564C2">
        <w:rPr>
          <w:rStyle w:val="FootnoteReference"/>
        </w:rPr>
        <w:footnoteRef/>
      </w:r>
      <w:r w:rsidRPr="000564C2">
        <w:t xml:space="preserve"> Jonathan Wells, The Evolutionary Biology of Human Body Fatness: Thrift and Control (Cambridge: Cambridge University Press, 2010), 279.</w:t>
      </w:r>
    </w:p>
  </w:footnote>
  <w:footnote w:id="55">
    <w:p w14:paraId="2ED1C320" w14:textId="77777777" w:rsidR="00183629" w:rsidRDefault="00183629" w:rsidP="000564C2">
      <w:pPr>
        <w:pStyle w:val="FootnoteText"/>
        <w:ind w:firstLine="0"/>
        <w:jc w:val="left"/>
      </w:pPr>
      <w:r w:rsidRPr="000564C2">
        <w:rPr>
          <w:rStyle w:val="FootnoteReference"/>
        </w:rPr>
        <w:footnoteRef/>
      </w:r>
      <w:r w:rsidRPr="000564C2">
        <w:t xml:space="preserve"> Ibid, 294.</w:t>
      </w:r>
    </w:p>
  </w:footnote>
  <w:footnote w:id="56">
    <w:p w14:paraId="40376D41" w14:textId="77777777" w:rsidR="00183629" w:rsidRPr="000564C2" w:rsidRDefault="00183629" w:rsidP="00183629">
      <w:pPr>
        <w:pStyle w:val="FootnoteText"/>
        <w:ind w:firstLine="0"/>
        <w:jc w:val="left"/>
      </w:pPr>
      <w:r w:rsidRPr="000564C2">
        <w:rPr>
          <w:rStyle w:val="FootnoteReference"/>
        </w:rPr>
        <w:footnoteRef/>
      </w:r>
      <w:r w:rsidRPr="000564C2">
        <w:t xml:space="preserve"> Robert Williams, </w:t>
      </w:r>
      <w:r w:rsidRPr="000564C2">
        <w:rPr>
          <w:i/>
          <w:iCs/>
        </w:rPr>
        <w:t>Export Agriculture and the Crisis in Central America</w:t>
      </w:r>
      <w:r w:rsidRPr="000564C2">
        <w:t xml:space="preserve"> (Chapel Hill: University of North Carolina Press, 1986), 100.</w:t>
      </w:r>
    </w:p>
  </w:footnote>
  <w:footnote w:id="57">
    <w:p w14:paraId="29672D28" w14:textId="77777777" w:rsidR="00183629" w:rsidRPr="00402B58" w:rsidRDefault="00183629" w:rsidP="00183629">
      <w:pPr>
        <w:autoSpaceDE w:val="0"/>
        <w:autoSpaceDN w:val="0"/>
        <w:adjustRightInd w:val="0"/>
        <w:spacing w:line="240" w:lineRule="auto"/>
        <w:rPr>
          <w:rFonts w:ascii="MinionPro-Regular" w:hAnsi="MinionPro-Regular" w:cs="MinionPro-Regular"/>
          <w:sz w:val="18"/>
          <w:szCs w:val="18"/>
        </w:rPr>
      </w:pPr>
      <w:r w:rsidRPr="000564C2">
        <w:rPr>
          <w:rStyle w:val="FootnoteReference"/>
          <w:rFonts w:ascii="Times New Roman" w:hAnsi="Times New Roman" w:cs="Times New Roman"/>
          <w:sz w:val="20"/>
        </w:rPr>
        <w:footnoteRef/>
      </w:r>
      <w:r w:rsidRPr="000564C2">
        <w:rPr>
          <w:rFonts w:ascii="Times New Roman" w:hAnsi="Times New Roman" w:cs="Times New Roman"/>
          <w:sz w:val="20"/>
        </w:rPr>
        <w:t xml:space="preserve"> David Himmelgreen, “Special Issue: The Global Food Crisis: New Insights into an Age-old Problem,” </w:t>
      </w:r>
      <w:r w:rsidRPr="000564C2">
        <w:rPr>
          <w:rFonts w:ascii="Times New Roman" w:hAnsi="Times New Roman" w:cs="Times New Roman"/>
          <w:i/>
          <w:iCs/>
          <w:sz w:val="20"/>
        </w:rPr>
        <w:t xml:space="preserve">NAPA Bulletin </w:t>
      </w:r>
      <w:r w:rsidRPr="000564C2">
        <w:rPr>
          <w:rFonts w:ascii="Times New Roman" w:hAnsi="Times New Roman" w:cs="Times New Roman"/>
          <w:sz w:val="20"/>
        </w:rPr>
        <w:t>32 (2009), 12.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C5D981" w14:textId="77777777" w:rsidR="00F51D94" w:rsidRPr="004C0C27" w:rsidRDefault="00F51D94" w:rsidP="004C0C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8D4E9C"/>
    <w:multiLevelType w:val="hybridMultilevel"/>
    <w:tmpl w:val="A6EC46DE"/>
    <w:lvl w:ilvl="0" w:tplc="764E0F3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27"/>
    <w:rsid w:val="00004CF3"/>
    <w:rsid w:val="000134F0"/>
    <w:rsid w:val="000272A4"/>
    <w:rsid w:val="000401F5"/>
    <w:rsid w:val="000436E5"/>
    <w:rsid w:val="000564C2"/>
    <w:rsid w:val="000861B2"/>
    <w:rsid w:val="00094D24"/>
    <w:rsid w:val="0010427F"/>
    <w:rsid w:val="001570F7"/>
    <w:rsid w:val="00183629"/>
    <w:rsid w:val="00191B6E"/>
    <w:rsid w:val="001F034A"/>
    <w:rsid w:val="00221382"/>
    <w:rsid w:val="00231C90"/>
    <w:rsid w:val="0027532E"/>
    <w:rsid w:val="0027724C"/>
    <w:rsid w:val="002959D8"/>
    <w:rsid w:val="002973DB"/>
    <w:rsid w:val="002A01D7"/>
    <w:rsid w:val="002B0EA5"/>
    <w:rsid w:val="002C04AA"/>
    <w:rsid w:val="002C74A3"/>
    <w:rsid w:val="002E479D"/>
    <w:rsid w:val="002E67FF"/>
    <w:rsid w:val="003000C9"/>
    <w:rsid w:val="0031448E"/>
    <w:rsid w:val="00350E42"/>
    <w:rsid w:val="003619ED"/>
    <w:rsid w:val="003B4FBA"/>
    <w:rsid w:val="003C781F"/>
    <w:rsid w:val="003E0AB9"/>
    <w:rsid w:val="003E7C27"/>
    <w:rsid w:val="003F25C6"/>
    <w:rsid w:val="004145E4"/>
    <w:rsid w:val="00422CB8"/>
    <w:rsid w:val="004957BE"/>
    <w:rsid w:val="00497C42"/>
    <w:rsid w:val="004B59D0"/>
    <w:rsid w:val="004C0C27"/>
    <w:rsid w:val="004C2791"/>
    <w:rsid w:val="004C3DD2"/>
    <w:rsid w:val="004E2AFA"/>
    <w:rsid w:val="00500243"/>
    <w:rsid w:val="00515DA1"/>
    <w:rsid w:val="00522349"/>
    <w:rsid w:val="00542691"/>
    <w:rsid w:val="005576AA"/>
    <w:rsid w:val="00563EBB"/>
    <w:rsid w:val="0056574B"/>
    <w:rsid w:val="00566BC9"/>
    <w:rsid w:val="005722E1"/>
    <w:rsid w:val="005D723B"/>
    <w:rsid w:val="005E0097"/>
    <w:rsid w:val="005F78C5"/>
    <w:rsid w:val="005F78D3"/>
    <w:rsid w:val="005F7CBB"/>
    <w:rsid w:val="00600BF1"/>
    <w:rsid w:val="00607E45"/>
    <w:rsid w:val="00617352"/>
    <w:rsid w:val="00625A12"/>
    <w:rsid w:val="00690EBB"/>
    <w:rsid w:val="006E264C"/>
    <w:rsid w:val="006F1449"/>
    <w:rsid w:val="00711750"/>
    <w:rsid w:val="0071328C"/>
    <w:rsid w:val="00777D20"/>
    <w:rsid w:val="007B303F"/>
    <w:rsid w:val="007D4971"/>
    <w:rsid w:val="008120B4"/>
    <w:rsid w:val="00823348"/>
    <w:rsid w:val="0082347E"/>
    <w:rsid w:val="00831141"/>
    <w:rsid w:val="008366E3"/>
    <w:rsid w:val="00844EED"/>
    <w:rsid w:val="00876351"/>
    <w:rsid w:val="00877CD2"/>
    <w:rsid w:val="008829CD"/>
    <w:rsid w:val="008947DB"/>
    <w:rsid w:val="008A28B1"/>
    <w:rsid w:val="008A5961"/>
    <w:rsid w:val="008C0CCF"/>
    <w:rsid w:val="008C7912"/>
    <w:rsid w:val="009039CD"/>
    <w:rsid w:val="00953FB0"/>
    <w:rsid w:val="009557F7"/>
    <w:rsid w:val="00972E8D"/>
    <w:rsid w:val="009B596C"/>
    <w:rsid w:val="009D0E4B"/>
    <w:rsid w:val="00A03654"/>
    <w:rsid w:val="00A05D29"/>
    <w:rsid w:val="00A06F32"/>
    <w:rsid w:val="00A203AB"/>
    <w:rsid w:val="00A47BCB"/>
    <w:rsid w:val="00A579D5"/>
    <w:rsid w:val="00AD04EC"/>
    <w:rsid w:val="00AE7B8E"/>
    <w:rsid w:val="00AF3B80"/>
    <w:rsid w:val="00B05D67"/>
    <w:rsid w:val="00B44475"/>
    <w:rsid w:val="00B47163"/>
    <w:rsid w:val="00B568C6"/>
    <w:rsid w:val="00B72D71"/>
    <w:rsid w:val="00BA7B0A"/>
    <w:rsid w:val="00BB43AC"/>
    <w:rsid w:val="00BC5BB3"/>
    <w:rsid w:val="00C245BA"/>
    <w:rsid w:val="00C35215"/>
    <w:rsid w:val="00CC5024"/>
    <w:rsid w:val="00CF2B2F"/>
    <w:rsid w:val="00D0027C"/>
    <w:rsid w:val="00D4215A"/>
    <w:rsid w:val="00D6711B"/>
    <w:rsid w:val="00DA6019"/>
    <w:rsid w:val="00DD7D71"/>
    <w:rsid w:val="00DE5A55"/>
    <w:rsid w:val="00DF7C81"/>
    <w:rsid w:val="00E06543"/>
    <w:rsid w:val="00E11638"/>
    <w:rsid w:val="00E34888"/>
    <w:rsid w:val="00E671F0"/>
    <w:rsid w:val="00EF3517"/>
    <w:rsid w:val="00EF4582"/>
    <w:rsid w:val="00F2680D"/>
    <w:rsid w:val="00F36BFA"/>
    <w:rsid w:val="00F37636"/>
    <w:rsid w:val="00F51D94"/>
    <w:rsid w:val="00F5612A"/>
    <w:rsid w:val="00F6434F"/>
    <w:rsid w:val="00F71433"/>
    <w:rsid w:val="00FA39FF"/>
    <w:rsid w:val="00FA43B6"/>
    <w:rsid w:val="00FD040A"/>
    <w:rsid w:val="00FD6CD5"/>
    <w:rsid w:val="00FE6E1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755F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GB" w:eastAsia="zh-CN"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9CD"/>
    <w:rPr>
      <w:sz w:val="24"/>
    </w:rPr>
  </w:style>
  <w:style w:type="paragraph" w:styleId="Heading1">
    <w:name w:val="heading 1"/>
    <w:basedOn w:val="Normal"/>
    <w:next w:val="Normal"/>
    <w:link w:val="Heading1Char"/>
    <w:uiPriority w:val="9"/>
    <w:qFormat/>
    <w:rsid w:val="003E7C27"/>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E7C27"/>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3E7C27"/>
    <w:pPr>
      <w:keepNext/>
      <w:keepLines/>
      <w:spacing w:before="40" w:after="0" w:line="240" w:lineRule="auto"/>
      <w:outlineLvl w:val="2"/>
    </w:pPr>
    <w:rPr>
      <w:rFonts w:asciiTheme="majorHAnsi" w:eastAsiaTheme="majorEastAsia" w:hAnsiTheme="majorHAnsi" w:cstheme="majorBidi"/>
      <w:color w:val="44546A" w:themeColor="text2"/>
      <w:szCs w:val="24"/>
    </w:rPr>
  </w:style>
  <w:style w:type="paragraph" w:styleId="Heading4">
    <w:name w:val="heading 4"/>
    <w:basedOn w:val="Normal"/>
    <w:next w:val="Normal"/>
    <w:link w:val="Heading4Char"/>
    <w:uiPriority w:val="9"/>
    <w:semiHidden/>
    <w:unhideWhenUsed/>
    <w:qFormat/>
    <w:rsid w:val="003E7C27"/>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E7C27"/>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3E7C27"/>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3E7C27"/>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3E7C27"/>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3E7C27"/>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2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E7C27"/>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3E7C27"/>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3E7C27"/>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E7C27"/>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3E7C27"/>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3E7C27"/>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3E7C27"/>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3E7C27"/>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3E7C27"/>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3E7C27"/>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3E7C27"/>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3E7C27"/>
    <w:pPr>
      <w:numPr>
        <w:ilvl w:val="1"/>
      </w:numPr>
      <w:spacing w:line="240" w:lineRule="auto"/>
    </w:pPr>
    <w:rPr>
      <w:rFonts w:asciiTheme="majorHAnsi" w:eastAsiaTheme="majorEastAsia" w:hAnsiTheme="majorHAnsi" w:cstheme="majorBidi"/>
      <w:szCs w:val="24"/>
    </w:rPr>
  </w:style>
  <w:style w:type="character" w:customStyle="1" w:styleId="SubtitleChar">
    <w:name w:val="Subtitle Char"/>
    <w:basedOn w:val="DefaultParagraphFont"/>
    <w:link w:val="Subtitle"/>
    <w:uiPriority w:val="11"/>
    <w:rsid w:val="003E7C27"/>
    <w:rPr>
      <w:rFonts w:asciiTheme="majorHAnsi" w:eastAsiaTheme="majorEastAsia" w:hAnsiTheme="majorHAnsi" w:cstheme="majorBidi"/>
      <w:sz w:val="24"/>
      <w:szCs w:val="24"/>
    </w:rPr>
  </w:style>
  <w:style w:type="character" w:styleId="Strong">
    <w:name w:val="Strong"/>
    <w:basedOn w:val="DefaultParagraphFont"/>
    <w:uiPriority w:val="22"/>
    <w:qFormat/>
    <w:rsid w:val="003E7C27"/>
    <w:rPr>
      <w:b/>
      <w:bCs/>
    </w:rPr>
  </w:style>
  <w:style w:type="character" w:styleId="Emphasis">
    <w:name w:val="Emphasis"/>
    <w:basedOn w:val="DefaultParagraphFont"/>
    <w:uiPriority w:val="20"/>
    <w:qFormat/>
    <w:rsid w:val="003E7C27"/>
    <w:rPr>
      <w:i/>
      <w:iCs/>
    </w:rPr>
  </w:style>
  <w:style w:type="paragraph" w:styleId="NoSpacing">
    <w:name w:val="No Spacing"/>
    <w:uiPriority w:val="1"/>
    <w:qFormat/>
    <w:rsid w:val="003E7C27"/>
    <w:pPr>
      <w:spacing w:after="0" w:line="240" w:lineRule="auto"/>
    </w:pPr>
  </w:style>
  <w:style w:type="paragraph" w:styleId="Quote">
    <w:name w:val="Quote"/>
    <w:basedOn w:val="Normal"/>
    <w:next w:val="Normal"/>
    <w:link w:val="QuoteChar"/>
    <w:uiPriority w:val="29"/>
    <w:qFormat/>
    <w:rsid w:val="003E7C27"/>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3E7C27"/>
    <w:rPr>
      <w:i/>
      <w:iCs/>
      <w:color w:val="404040" w:themeColor="text1" w:themeTint="BF"/>
    </w:rPr>
  </w:style>
  <w:style w:type="paragraph" w:styleId="IntenseQuote">
    <w:name w:val="Intense Quote"/>
    <w:basedOn w:val="Normal"/>
    <w:next w:val="Normal"/>
    <w:link w:val="IntenseQuoteChar"/>
    <w:uiPriority w:val="30"/>
    <w:qFormat/>
    <w:rsid w:val="003E7C27"/>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3E7C27"/>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3E7C27"/>
    <w:rPr>
      <w:i/>
      <w:iCs/>
      <w:color w:val="404040" w:themeColor="text1" w:themeTint="BF"/>
    </w:rPr>
  </w:style>
  <w:style w:type="character" w:styleId="IntenseEmphasis">
    <w:name w:val="Intense Emphasis"/>
    <w:basedOn w:val="DefaultParagraphFont"/>
    <w:uiPriority w:val="21"/>
    <w:qFormat/>
    <w:rsid w:val="003E7C27"/>
    <w:rPr>
      <w:b/>
      <w:bCs/>
      <w:i/>
      <w:iCs/>
    </w:rPr>
  </w:style>
  <w:style w:type="character" w:styleId="SubtleReference">
    <w:name w:val="Subtle Reference"/>
    <w:basedOn w:val="DefaultParagraphFont"/>
    <w:uiPriority w:val="31"/>
    <w:qFormat/>
    <w:rsid w:val="003E7C2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E7C27"/>
    <w:rPr>
      <w:b/>
      <w:bCs/>
      <w:smallCaps/>
      <w:spacing w:val="5"/>
      <w:u w:val="single"/>
    </w:rPr>
  </w:style>
  <w:style w:type="character" w:styleId="BookTitle">
    <w:name w:val="Book Title"/>
    <w:basedOn w:val="DefaultParagraphFont"/>
    <w:uiPriority w:val="33"/>
    <w:qFormat/>
    <w:rsid w:val="003E7C27"/>
    <w:rPr>
      <w:b/>
      <w:bCs/>
      <w:smallCaps/>
    </w:rPr>
  </w:style>
  <w:style w:type="paragraph" w:styleId="TOCHeading">
    <w:name w:val="TOC Heading"/>
    <w:basedOn w:val="Heading1"/>
    <w:next w:val="Normal"/>
    <w:uiPriority w:val="39"/>
    <w:semiHidden/>
    <w:unhideWhenUsed/>
    <w:qFormat/>
    <w:rsid w:val="003E7C27"/>
    <w:pPr>
      <w:outlineLvl w:val="9"/>
    </w:pPr>
  </w:style>
  <w:style w:type="table" w:styleId="TableGrid">
    <w:name w:val="Table Grid"/>
    <w:basedOn w:val="TableNormal"/>
    <w:uiPriority w:val="39"/>
    <w:rsid w:val="003E7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711B"/>
    <w:pPr>
      <w:ind w:left="720"/>
      <w:contextualSpacing/>
    </w:pPr>
  </w:style>
  <w:style w:type="paragraph" w:styleId="Header">
    <w:name w:val="header"/>
    <w:basedOn w:val="Normal"/>
    <w:link w:val="HeaderChar"/>
    <w:uiPriority w:val="99"/>
    <w:unhideWhenUsed/>
    <w:rsid w:val="00844E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4EED"/>
  </w:style>
  <w:style w:type="paragraph" w:styleId="Footer">
    <w:name w:val="footer"/>
    <w:basedOn w:val="Normal"/>
    <w:link w:val="FooterChar"/>
    <w:uiPriority w:val="99"/>
    <w:unhideWhenUsed/>
    <w:rsid w:val="00844E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4EED"/>
  </w:style>
  <w:style w:type="paragraph" w:styleId="FootnoteText">
    <w:name w:val="footnote text"/>
    <w:basedOn w:val="Normal"/>
    <w:link w:val="FootnoteTextChar"/>
    <w:uiPriority w:val="99"/>
    <w:unhideWhenUsed/>
    <w:rsid w:val="00183629"/>
    <w:pPr>
      <w:spacing w:after="0" w:line="240" w:lineRule="auto"/>
      <w:ind w:firstLine="709"/>
      <w:jc w:val="both"/>
    </w:pPr>
    <w:rPr>
      <w:rFonts w:ascii="Times New Roman" w:eastAsiaTheme="minorHAnsi" w:hAnsi="Times New Roman" w:cs="Times New Roman"/>
      <w:sz w:val="20"/>
      <w:lang w:eastAsia="en-US"/>
    </w:rPr>
  </w:style>
  <w:style w:type="character" w:customStyle="1" w:styleId="FootnoteTextChar">
    <w:name w:val="Footnote Text Char"/>
    <w:basedOn w:val="DefaultParagraphFont"/>
    <w:link w:val="FootnoteText"/>
    <w:uiPriority w:val="99"/>
    <w:rsid w:val="00183629"/>
    <w:rPr>
      <w:rFonts w:ascii="Times New Roman" w:eastAsiaTheme="minorHAnsi" w:hAnsi="Times New Roman" w:cs="Times New Roman"/>
      <w:lang w:eastAsia="en-US"/>
    </w:rPr>
  </w:style>
  <w:style w:type="character" w:styleId="FootnoteReference">
    <w:name w:val="footnote reference"/>
    <w:basedOn w:val="DefaultParagraphFont"/>
    <w:uiPriority w:val="99"/>
    <w:semiHidden/>
    <w:unhideWhenUsed/>
    <w:rsid w:val="0018362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7EBD82E3086E4CA862D4982F90594D" ma:contentTypeVersion="8" ma:contentTypeDescription="Create a new document." ma:contentTypeScope="" ma:versionID="8ddf07906f9aa4e27f6c33c4bf3cb38a">
  <xsd:schema xmlns:xsd="http://www.w3.org/2001/XMLSchema" xmlns:xs="http://www.w3.org/2001/XMLSchema" xmlns:p="http://schemas.microsoft.com/office/2006/metadata/properties" xmlns:ns3="4facf45b-dafd-488a-ad57-f2b74a7b27af" targetNamespace="http://schemas.microsoft.com/office/2006/metadata/properties" ma:root="true" ma:fieldsID="4d23e2360f05364c05964ab4f8cfeebe" ns3:_="">
    <xsd:import namespace="4facf45b-dafd-488a-ad57-f2b74a7b27a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acf45b-dafd-488a-ad57-f2b74a7b27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B929D6-3720-4178-8222-22D070FA0B2F}">
  <ds:schemaRefs>
    <ds:schemaRef ds:uri="http://schemas.openxmlformats.org/officeDocument/2006/bibliography"/>
  </ds:schemaRefs>
</ds:datastoreItem>
</file>

<file path=customXml/itemProps2.xml><?xml version="1.0" encoding="utf-8"?>
<ds:datastoreItem xmlns:ds="http://schemas.openxmlformats.org/officeDocument/2006/customXml" ds:itemID="{7C386F97-7F0B-4594-8041-7AA234E3335E}">
  <ds:schemaRefs>
    <ds:schemaRef ds:uri="http://schemas.microsoft.com/sharepoint/v3/contenttype/forms"/>
  </ds:schemaRefs>
</ds:datastoreItem>
</file>

<file path=customXml/itemProps3.xml><?xml version="1.0" encoding="utf-8"?>
<ds:datastoreItem xmlns:ds="http://schemas.openxmlformats.org/officeDocument/2006/customXml" ds:itemID="{14157A97-7F26-442B-AAA0-1FA176F633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acf45b-dafd-488a-ad57-f2b74a7b27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6D9FB3-6E82-4B1D-824F-04B262FAD8E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4765</Words>
  <Characters>27167</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2020-06-03T14:52:00Z</dcterms:created>
  <dcterms:modified xsi:type="dcterms:W3CDTF">2020-07-17T10:38:00Z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0x010100207EBD82E3086E4CA862D4982F90594D</vt:lpwstr>
  </property>
</Properties>
</file>